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2826.htm"/>
      <w:bookmarkStart w:id="1" w:name="ksf6k_072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July 28, 2026, the Registrant issued a press release, a copy of which is attached hereto as Exhibit 99.1 and is incorporated herein by reference. </w:t>
        <w:br/>
        <w:br/>
      </w:r>
      <w:hyperlink w:anchor="exh_991.htm">
        <w:r>
          <w:rPr>
            <w:rStyle w:val="InternetLink"/>
          </w:rPr>
          <w:t>Exhibit 99.1. Press release dated July 28,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28,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b/>
        </w:rPr>
      </w:pPr>
      <w:r>
        <w:rPr>
          <w:b/>
        </w:rPr>
        <w:t>Mechelen, Belgium; July 28, 2026, 22.01 CET; regulated information</w:t>
      </w:r>
    </w:p>
    <w:p>
      <w:pPr>
        <w:pStyle w:val="TextBody"/>
        <w:bidi w:val="0"/>
        <w:jc w:val="both"/>
        <w:rPr/>
      </w:pPr>
      <w:r>
        <w:rPr/>
        <w:t>Within the framework of the repurchase program announced on June 9, 2026, Lakefront Biotherapeutics NV (Euronext &amp; NASDAQ: LKFT) ("Lakefront") announces that between July 20, 2026 and July 24, 2026, it has repurchased 95,670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17,936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467,150.29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3,372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86,979.73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2,597.72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1,940.28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14,022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358,820.18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38,513.84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5,795.01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12,931.79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25.58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15,385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394,028.31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1,245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31,907.36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490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12,553.80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4,750.13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17,120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430,292.37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2,945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73,071.34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25.12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1,511.58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1,511.58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17,407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24.81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431,940.78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25.00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1,729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42,830.62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1,159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28,875.91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24.75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3,439.68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24.92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95,670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25.41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2,431,442.30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24.56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r>
    </w:tbl>
    <w:p>
      <w:pPr>
        <w:pStyle w:val="TextBody"/>
        <w:bidi w:val="0"/>
        <w:jc w:val="both"/>
        <w:rPr/>
      </w:pPr>
      <w:r>
        <w:rPr/>
        <w:t>As of market close on July 24, 2026, Lakefront holds 606,719 of its own ordinary shares.</w:t>
      </w:r>
    </w:p>
    <w:p>
      <w:pPr>
        <w:pStyle w:val="TextBody"/>
        <w:bidi w:val="0"/>
        <w:jc w:val="both"/>
        <w:rPr/>
      </w:pPr>
      <w:r>
        <w:rPr>
          <w:b/>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937</Words>
  <Characters>5654</Characters>
  <CharactersWithSpaces>6456</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