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526.htm"/>
      <w:bookmarkStart w:id="1" w:name="ksf6k_082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On August 24, 2026, the Registrant issued a press release, a copy of which is attached hereto as Exhibit 99.1 and is incorporated herein by reference. </w:t>
        <w:br/>
        <w:br/>
      </w:r>
      <w:hyperlink w:anchor="exh_991.htm">
        <w:r>
          <w:rPr>
            <w:rStyle w:val="InternetLink"/>
          </w:rPr>
          <w:t>(c) Exhibit 99.1. Press release dated August 24,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25,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b/>
          <w:sz w:val="20"/>
        </w:rPr>
      </w:pPr>
      <w:bookmarkStart w:id="2" w:name="exh_991.htm"/>
      <w:bookmarkStart w:id="3" w:name="ksexh_991"/>
      <w:bookmarkEnd w:id="2"/>
      <w:bookmarkEnd w:id="3"/>
      <w:r>
        <w:rPr>
          <w:b/>
          <w:sz w:val="20"/>
        </w:rPr>
        <w:t>EXHIBIT 99.1</w:t>
      </w:r>
      <w:r>
        <w:br w:type="page"/>
      </w:r>
    </w:p>
    <w:p>
      <w:pPr>
        <w:pStyle w:val="TextBody"/>
        <w:bidi w:val="0"/>
        <w:jc w:val="center"/>
        <w:rPr>
          <w:b/>
          <w:sz w:val="20"/>
        </w:rPr>
      </w:pPr>
      <w:r>
        <w:rPr>
          <w:b/>
          <w:sz w:val="20"/>
        </w:rPr>
        <w:t>Lakefront Receives Transparency Notification from Bank of America</w:t>
      </w:r>
    </w:p>
    <w:p>
      <w:pPr>
        <w:pStyle w:val="TextBody"/>
        <w:bidi w:val="0"/>
        <w:jc w:val="both"/>
        <w:rPr>
          <w:b/>
          <w:sz w:val="20"/>
        </w:rPr>
      </w:pPr>
      <w:r>
        <w:rPr>
          <w:b/>
          <w:sz w:val="20"/>
        </w:rPr>
        <w:t>Mechelen, Belgium; August 24, 2026, 22.01 CET; regulated information – Lakefront Biotherapeutics NV (Euronext &amp; NASDAQ: LKFT) received a transparency notification from Bank of America.</w:t>
      </w:r>
    </w:p>
    <w:p>
      <w:pPr>
        <w:pStyle w:val="TextBody"/>
        <w:bidi w:val="0"/>
        <w:jc w:val="both"/>
        <w:rPr>
          <w:sz w:val="20"/>
        </w:rPr>
      </w:pPr>
      <w:r>
        <w:rPr>
          <w:sz w:val="20"/>
        </w:rPr>
        <w:t>Pursuant to Belgian transparency legislation</w:t>
      </w:r>
      <w:r>
        <w:rPr>
          <w:position w:val="7"/>
          <w:sz w:val="16"/>
          <w:sz w:val="20"/>
        </w:rPr>
        <w:t>1</w:t>
      </w:r>
      <w:r>
        <w:rPr>
          <w:sz w:val="20"/>
        </w:rPr>
        <w:t>, Lakefront received a transparency notification from Bank of America Corporation on August 19, 2026. The notification indicates that Bank of America Corporation, as controlling entity, crossed above the threshold of 10% of Lakefront’ voting rights on August 18, 2026, following the acquisition of Lakefront voting rights and equivalent financial instruments.</w:t>
      </w:r>
    </w:p>
    <w:p>
      <w:pPr>
        <w:pStyle w:val="TextBody"/>
        <w:bidi w:val="0"/>
        <w:jc w:val="both"/>
        <w:rPr>
          <w:sz w:val="20"/>
        </w:rPr>
      </w:pPr>
      <w:r>
        <w:rPr>
          <w:sz w:val="20"/>
        </w:rPr>
        <w:t>On August 19, 2026, Bank of America Corporation (taking into account the holding of its affiliates) owned 1,419,144 voting rights and 5,243,453 equivalent financial instruments, representing together 10.11% of Lakefront’ currently outstanding 65,897,071 shares.</w:t>
      </w:r>
    </w:p>
    <w:p>
      <w:pPr>
        <w:pStyle w:val="TextBody"/>
        <w:bidi w:val="0"/>
        <w:jc w:val="both"/>
        <w:rPr>
          <w:b/>
          <w:sz w:val="20"/>
        </w:rPr>
      </w:pPr>
      <w:r>
        <w:rPr>
          <w:b/>
          <w:sz w:val="20"/>
        </w:rPr>
        <w:t>Summary of the transactions:</w:t>
      </w:r>
    </w:p>
    <w:tbl>
      <w:tblPr>
        <w:tblW w:w="10205" w:type="dxa"/>
        <w:jc w:val="left"/>
        <w:tblInd w:w="-10" w:type="dxa"/>
        <w:tblLayout w:type="fixed"/>
        <w:tblCellMar>
          <w:top w:w="28" w:type="dxa"/>
          <w:left w:w="28" w:type="dxa"/>
          <w:bottom w:w="28" w:type="dxa"/>
          <w:right w:w="28" w:type="dxa"/>
        </w:tblCellMar>
      </w:tblPr>
      <w:tblGrid>
        <w:gridCol w:w="2329"/>
        <w:gridCol w:w="1436"/>
        <w:gridCol w:w="2413"/>
        <w:gridCol w:w="3038"/>
        <w:gridCol w:w="989"/>
      </w:tblGrid>
      <w:tr>
        <w:trPr/>
        <w:tc>
          <w:tcPr>
            <w:tcW w:w="23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Date on which the threshold was crossed</w:t>
            </w:r>
          </w:p>
        </w:tc>
        <w:tc>
          <w:tcPr>
            <w:tcW w:w="143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Date of notification</w:t>
            </w:r>
          </w:p>
        </w:tc>
        <w:tc>
          <w:tcPr>
            <w:tcW w:w="24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Direct voting rights after the transaction</w:t>
            </w:r>
          </w:p>
        </w:tc>
        <w:tc>
          <w:tcPr>
            <w:tcW w:w="30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Equivalent financial instruments after the transaction</w:t>
            </w:r>
          </w:p>
        </w:tc>
        <w:tc>
          <w:tcPr>
            <w:tcW w:w="9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b/>
                <w:sz w:val="20"/>
              </w:rPr>
              <w:t>Total (%)</w:t>
            </w:r>
            <w:r>
              <w:rPr>
                <w:sz w:val="20"/>
              </w:rPr>
              <w:br/>
            </w:r>
            <w:r>
              <w:rPr>
                <w:b/>
                <w:sz w:val="20"/>
              </w:rPr>
              <w:t>voting rights</w:t>
            </w:r>
          </w:p>
        </w:tc>
      </w:tr>
      <w:tr>
        <w:trPr/>
        <w:tc>
          <w:tcPr>
            <w:tcW w:w="23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August 18, 2026</w:t>
            </w:r>
          </w:p>
        </w:tc>
        <w:tc>
          <w:tcPr>
            <w:tcW w:w="143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August 19, 2026</w:t>
            </w:r>
          </w:p>
        </w:tc>
        <w:tc>
          <w:tcPr>
            <w:tcW w:w="24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2.15%</w:t>
            </w:r>
          </w:p>
        </w:tc>
        <w:tc>
          <w:tcPr>
            <w:tcW w:w="30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7.96%</w:t>
            </w:r>
          </w:p>
        </w:tc>
        <w:tc>
          <w:tcPr>
            <w:tcW w:w="9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10.11%</w:t>
            </w:r>
          </w:p>
        </w:tc>
      </w:tr>
    </w:tbl>
    <w:p>
      <w:pPr>
        <w:pStyle w:val="TextBody"/>
        <w:bidi w:val="0"/>
        <w:jc w:val="both"/>
        <w:rPr>
          <w:sz w:val="20"/>
        </w:rPr>
      </w:pPr>
      <w:r>
        <w:rPr>
          <w:b/>
          <w:sz w:val="20"/>
        </w:rPr>
        <w:t>Content of the notification from Bank of America Corporation:</w:t>
      </w:r>
      <w:r>
        <w:rPr>
          <w:sz w:val="20"/>
        </w:rPr>
        <w:br/>
        <w:t>The notification dated August 19, 2026, contains the following information:</w:t>
        <w:br/>
        <w:t>·        Date of notification: August 19, 2026</w:t>
        <w:br/>
        <w:t>·        Date on which the threshold is crossed: August 18, 2026</w:t>
        <w:br/>
        <w:t>·        Threshold of voting rights crossed (in %): 10%</w:t>
        <w:br/>
        <w:t>·        Notification by: Bank of America Corporation</w:t>
        <w:br/>
        <w:t>·        Denominator: 65,897,071</w:t>
        <w:br/>
        <w:t>·        Reason for the notification: Acquisition or disposal of financial instruments that are treated as voting securities</w:t>
        <w:br/>
        <w:t>·        Notified details:</w:t>
      </w:r>
    </w:p>
    <w:tbl>
      <w:tblPr>
        <w:tblW w:w="10205" w:type="dxa"/>
        <w:jc w:val="left"/>
        <w:tblInd w:w="-10" w:type="dxa"/>
        <w:tblLayout w:type="fixed"/>
        <w:tblCellMar>
          <w:top w:w="28" w:type="dxa"/>
          <w:left w:w="28" w:type="dxa"/>
          <w:bottom w:w="28" w:type="dxa"/>
          <w:right w:w="28" w:type="dxa"/>
        </w:tblCellMar>
      </w:tblPr>
      <w:tblGrid>
        <w:gridCol w:w="2532"/>
        <w:gridCol w:w="1592"/>
        <w:gridCol w:w="1433"/>
        <w:gridCol w:w="1595"/>
        <w:gridCol w:w="1411"/>
        <w:gridCol w:w="1642"/>
      </w:tblGrid>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A) Voting Rights</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Previous notification</w:t>
            </w:r>
          </w:p>
        </w:tc>
        <w:tc>
          <w:tcPr>
            <w:tcW w:w="6081" w:type="dxa"/>
            <w:gridSpan w:val="4"/>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After the transaction</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of voting rights</w:t>
            </w:r>
          </w:p>
        </w:tc>
        <w:tc>
          <w:tcPr>
            <w:tcW w:w="3028"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of voting rights</w:t>
            </w:r>
          </w:p>
        </w:tc>
        <w:tc>
          <w:tcPr>
            <w:tcW w:w="305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of voting rights</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Holder of voting rights</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Linked to securities</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Not linked to securities</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Linked to securities</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Not linked to securities</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Bank of America Corporation</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Bank of America, National Association</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14,348</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10,701</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0.02%</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8,234</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BofA Securities, Inc.</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600,314</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1,407,905</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2.14%</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 xml:space="preserve">Merrill Lynch, Pierce, Fenner &amp; Smith </w:t>
              <w:br/>
              <w:t>Incorporated</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462</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462</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U.S. Trust Company of Delaware</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76</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76</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Subtotal</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623,434</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1,419,144</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2.15%</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r>
        <w:trPr/>
        <w:tc>
          <w:tcPr>
            <w:tcW w:w="25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TOTAL</w:t>
            </w:r>
          </w:p>
        </w:tc>
        <w:tc>
          <w:tcPr>
            <w:tcW w:w="14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1,419,144</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0</w:t>
            </w:r>
          </w:p>
        </w:tc>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2.15%</w:t>
            </w:r>
          </w:p>
        </w:tc>
        <w:tc>
          <w:tcPr>
            <w:tcW w:w="16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0.00%</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1926"/>
        <w:gridCol w:w="1466"/>
        <w:gridCol w:w="1157"/>
        <w:gridCol w:w="1214"/>
        <w:gridCol w:w="2460"/>
        <w:gridCol w:w="942"/>
        <w:gridCol w:w="1040"/>
      </w:tblGrid>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B) Equivalent financial instruments</w:t>
            </w:r>
          </w:p>
        </w:tc>
        <w:tc>
          <w:tcPr>
            <w:tcW w:w="8279"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After the transaction</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Holder of equivalent financial instruments</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Type of financial instrument</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Expiration date</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Exercise period or date</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of voting rights that may be acquired if the instrument is exercised</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of voting rights</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Settlement</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Right to Recall</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262,775</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0.40%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physical</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Rights of Use</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34,089</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0.05%</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physical</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BofA Securities, Inc.</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Right to Use</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4,757,362</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7.22%</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physical</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Bank of America, National Association</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15/10/2027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434</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Bank of America, National Association</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15/06/2027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13,414</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0.02%</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Bank of America, National Association</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30/06/2028</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27</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Bank of America, National Association</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31/07/2028</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3,061</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15/01/2027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13,448</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0.02%</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30/04/2027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134,182</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0.20%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30/06/2027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213</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15/06/2027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13,414</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0.02%</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09/09/2027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2,933</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29/01/2027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3,741</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0.01%</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31/03/2027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222</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30/09/2027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44</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Merrill Lynch International</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26/02/2027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4,050</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0.01%</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BofA Securities, Inc.</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Swaps</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sz w:val="20"/>
              </w:rPr>
            </w:pPr>
            <w:r>
              <w:rPr>
                <w:sz w:val="20"/>
              </w:rPr>
              <w:t>30/09/2027</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44</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0.00%</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cash</w:t>
            </w:r>
          </w:p>
        </w:tc>
      </w:tr>
      <w:tr>
        <w:trPr/>
        <w:tc>
          <w:tcPr>
            <w:tcW w:w="19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TOTAL</w:t>
            </w:r>
          </w:p>
        </w:tc>
        <w:tc>
          <w:tcPr>
            <w:tcW w:w="11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1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5,243,453</w:t>
            </w:r>
          </w:p>
        </w:tc>
        <w:tc>
          <w:tcPr>
            <w:tcW w:w="9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7.96%</w:t>
            </w:r>
          </w:p>
        </w:tc>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bl>
    <w:p>
      <w:pPr>
        <w:pStyle w:val="TextBody"/>
        <w:bidi w:val="0"/>
        <w:jc w:val="left"/>
        <w:rPr>
          <w:sz w:val="20"/>
        </w:rPr>
      </w:pPr>
      <w:r>
        <w:rPr>
          <w:sz w:val="20"/>
        </w:rPr>
      </w:r>
    </w:p>
    <w:tbl>
      <w:tblPr>
        <w:tblW w:w="4638" w:type="dxa"/>
        <w:jc w:val="left"/>
        <w:tblInd w:w="-10" w:type="dxa"/>
        <w:tblLayout w:type="fixed"/>
        <w:tblCellMar>
          <w:top w:w="28" w:type="dxa"/>
          <w:left w:w="28" w:type="dxa"/>
          <w:bottom w:w="28" w:type="dxa"/>
          <w:right w:w="28" w:type="dxa"/>
        </w:tblCellMar>
      </w:tblPr>
      <w:tblGrid>
        <w:gridCol w:w="1411"/>
        <w:gridCol w:w="1546"/>
        <w:gridCol w:w="1681"/>
      </w:tblGrid>
      <w:tr>
        <w:trPr/>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TOTAL (A&amp;B)</w:t>
            </w:r>
          </w:p>
        </w:tc>
        <w:tc>
          <w:tcPr>
            <w:tcW w:w="15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 of voting rights</w:t>
            </w:r>
          </w:p>
        </w:tc>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 of voting rights</w:t>
            </w:r>
          </w:p>
        </w:tc>
      </w:tr>
      <w:tr>
        <w:trPr/>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6,662,597</w:t>
            </w:r>
          </w:p>
        </w:tc>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10.11%</w:t>
            </w:r>
          </w:p>
        </w:tc>
      </w:tr>
    </w:tbl>
    <w:p>
      <w:pPr>
        <w:pStyle w:val="TextBody"/>
        <w:bidi w:val="0"/>
        <w:jc w:val="both"/>
        <w:rPr>
          <w:sz w:val="20"/>
        </w:rPr>
      </w:pPr>
      <w:r>
        <w:rPr>
          <w:sz w:val="20"/>
        </w:rPr>
        <w:t xml:space="preserve">The chain of control has been described at the end of the notification (section 11) and can be found </w:t>
      </w:r>
      <w:r>
        <w:rPr>
          <w:sz w:val="20"/>
          <w:u w:val="single"/>
        </w:rPr>
        <w:t>here</w:t>
      </w:r>
      <w:r>
        <w:rPr>
          <w:sz w:val="20"/>
        </w:rPr>
        <w:t>.</w:t>
      </w:r>
    </w:p>
    <w:p>
      <w:pPr>
        <w:pStyle w:val="TextBody"/>
        <w:bidi w:val="0"/>
        <w:jc w:val="both"/>
        <w:rPr>
          <w:sz w:val="20"/>
        </w:rPr>
      </w:pPr>
      <w:r>
        <w:rPr>
          <w:b/>
          <w:sz w:val="20"/>
        </w:rPr>
        <w:t>About Lakefront</w:t>
      </w:r>
      <w:r>
        <w:rPr>
          <w:b/>
          <w:position w:val="7"/>
          <w:sz w:val="16"/>
          <w:sz w:val="20"/>
        </w:rPr>
        <w:t>®</w:t>
      </w:r>
      <w:r>
        <w:rPr>
          <w:b/>
          <w:sz w:val="20"/>
        </w:rPr>
        <w:t xml:space="preserve"> Biotherapeutics</w:t>
      </w:r>
      <w:r>
        <w:rPr>
          <w:sz w:val="20"/>
        </w:rPr>
        <w:br/>
        <w:t>Lakefront Biotherapeutics (formerly known as Galapagos) is a biotechnology company dedicated to building a differentiated pipeline of medicines for patients with serious diseases in areas of high unmet need. The Company has established a clinical-stage portfolio in immunology and inflammation, anchored by gamgertamig, a potential first-in-class and best-in-class BCMAxCD3 T-cell engager for autoimmune diseases. Backed by deep deal-making expertise, operational flexibility, and a strong capital position, Lakefront identifies, acquires, and advances high-quality assets with clear potential to deliver meaningful patient impact and long-term shareholder value. For more information, visit https://www.lakefrontbio.com or follow us on LinkedIn or X.</w:t>
      </w:r>
    </w:p>
    <w:p>
      <w:pPr>
        <w:pStyle w:val="TextBody"/>
        <w:bidi w:val="0"/>
        <w:jc w:val="both"/>
        <w:rPr>
          <w:sz w:val="20"/>
        </w:rPr>
      </w:pPr>
      <w:r>
        <w:rPr>
          <w:b/>
          <w:sz w:val="20"/>
        </w:rPr>
        <w:t>For further information, contact Lakefront Biotherapeutics:</w:t>
      </w:r>
      <w:r>
        <w:rPr>
          <w:sz w:val="20"/>
        </w:rPr>
        <w:br/>
      </w:r>
      <w:r>
        <w:rPr>
          <w:b/>
          <w:sz w:val="20"/>
        </w:rPr>
        <w:t xml:space="preserve">Investor Relations </w:t>
      </w:r>
      <w:r>
        <w:rPr>
          <w:sz w:val="20"/>
        </w:rPr>
        <w:br/>
        <w:t>Sherri Spear</w:t>
        <w:br/>
        <w:t>+1 412 522 6418</w:t>
        <w:br/>
        <w:t>sherri.spear@lakefrontbio.com</w:t>
      </w:r>
    </w:p>
    <w:p>
      <w:pPr>
        <w:pStyle w:val="TextBody"/>
        <w:bidi w:val="0"/>
        <w:jc w:val="left"/>
        <w:rPr>
          <w:b/>
          <w:sz w:val="20"/>
        </w:rPr>
      </w:pPr>
      <w:r>
        <w:rPr>
          <w:b/>
          <w:sz w:val="20"/>
        </w:rPr>
        <w:t>Forward-looking statements</w:t>
      </w:r>
    </w:p>
    <w:p>
      <w:pPr>
        <w:pStyle w:val="TextBody"/>
        <w:bidi w:val="0"/>
        <w:jc w:val="both"/>
        <w:rPr>
          <w:sz w:val="20"/>
        </w:rPr>
      </w:pPr>
      <w:r>
        <w:rPr>
          <w:sz w:val="20"/>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p>
      <w:pPr>
        <w:pStyle w:val="HorizontalLine"/>
        <w:pBdr>
          <w:bottom w:val="double" w:sz="2" w:space="0" w:color="808080"/>
        </w:pBdr>
        <w:bidi w:val="0"/>
        <w:spacing w:before="0" w:after="283"/>
        <w:jc w:val="left"/>
        <w:rPr/>
      </w:pPr>
      <w:r>
        <w:rPr/>
      </w:r>
    </w:p>
    <w:p>
      <w:pPr>
        <w:pStyle w:val="TextBody"/>
        <w:bidi w:val="0"/>
        <w:spacing w:before="0" w:after="283"/>
        <w:jc w:val="left"/>
        <w:rPr>
          <w:sz w:val="20"/>
        </w:rPr>
      </w:pPr>
      <w:r>
        <w:rPr>
          <w:position w:val="7"/>
          <w:sz w:val="16"/>
          <w:sz w:val="20"/>
        </w:rPr>
        <w:t>1</w:t>
      </w:r>
      <w:r>
        <w:rPr>
          <w:sz w:val="20"/>
        </w:rPr>
        <w:t xml:space="preserve"> Belgian Act of 2 May 2007 on the disclosure of major shareholdings in issuers whose shares are admitted to trading on a regulated market and regarding miscellaneous provisions, as amended from time to time.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1280</Words>
  <Characters>7693</Characters>
  <CharactersWithSpaces>8908</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