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2526.htm"/>
      <w:bookmarkStart w:id="1" w:name="ksf6k_0825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August 25, 2026, the Registrant issued a press release, a copy of which is attached hereto as Exhibit 99.1 and is incorporated herein by reference. </w:t>
      </w:r>
    </w:p>
    <w:p>
      <w:pPr>
        <w:pStyle w:val="TextBody"/>
        <w:bidi w:val="0"/>
        <w:spacing w:before="0" w:after="283"/>
        <w:jc w:val="left"/>
        <w:rPr/>
      </w:pPr>
      <w:hyperlink w:anchor="exh_991.htm">
        <w:r>
          <w:rPr>
            <w:rStyle w:val="InternetLink"/>
          </w:rPr>
          <w:t>Exhibit 99.1. Press release dated August 25,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25,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25 August 2026, 22.01 CET; regulated information</w:t>
      </w:r>
    </w:p>
    <w:p>
      <w:pPr>
        <w:pStyle w:val="TextBody"/>
        <w:bidi w:val="0"/>
        <w:jc w:val="both"/>
        <w:rPr/>
      </w:pPr>
      <w:r>
        <w:rPr/>
        <w:t>Within the framework of the repurchase program announced on June 9, 2026, Lakefront Biotherapeutics NV (Euronext &amp; NASDAQ: LKFT) ("Lakefront") announces that between August 17, 2026 and August 21, 2026, it has repurchased 117,471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16,158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387,350.89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2,196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52,664.03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14,706.59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24,227.68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23,094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550,184.53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2,137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50,833.25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737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17,593.07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562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13,389.14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16,677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414,059.89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1,953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48,186.37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1,329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32,583.23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5,507.89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24,144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601,772.30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68,501.13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962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23,940.04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1,209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30,521.69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14,694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358,210.33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5,347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130,010.17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9,360.83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1,339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32,432.05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117,471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2,866,035.10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r>
    </w:tbl>
    <w:p>
      <w:pPr>
        <w:pStyle w:val="TextBody"/>
        <w:bidi w:val="0"/>
        <w:jc w:val="both"/>
        <w:rPr/>
      </w:pPr>
      <w:r>
        <w:rPr/>
        <w:t>As of market close on 21 August 2026, Lakefront holds 1,033,528 of its own ordinary shares.</w:t>
      </w:r>
    </w:p>
    <w:p>
      <w:pPr>
        <w:pStyle w:val="TextBody"/>
        <w:bidi w:val="0"/>
        <w:jc w:val="both"/>
        <w:rPr/>
      </w:pPr>
      <w:r>
        <w:rPr>
          <w:b/>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clinical-stage portfolio in immunology and inflammation, anchored by gamgertamig, a potential first-in-class and best-in-class BCMAxCD3 T-cell engager for autoimmune diseases. Backed by deep deal-making expertise, operational flexibility, and a strong capital position, Lakefront identifies, acquires, and advances high-quality assets with clear potential to deliver meaningful patient impact and long-term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937</Words>
  <Characters>5687</Characters>
  <CharactersWithSpaces>6487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