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80" w:right="18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GALAPAGOS NV</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Generaal De Wittelaan L11 A3 2800 Mechelen, Belgium</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100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except for the quotes of Henry Gosebruch and Aaron Cox, included in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6,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GALAPAGOS NV</w:t>
            </w:r>
          </w:p>
        </w:tc>
        <w:tc>
          <w:tcPr>
            <w:tcW w:w="80" w:type="dxa"/>
            <w:vAlign w:val="bottom"/>
          </w:tcPr>
          <w:p>
            <w:pPr>
              <w:spacing w:after="0"/>
              <w:rPr>
                <w:sz w:val="17"/>
                <w:szCs w:val="17"/>
                <w:color w:val="auto"/>
              </w:rPr>
            </w:pPr>
          </w:p>
        </w:tc>
      </w:tr>
      <w:tr>
        <w:trPr>
          <w:trHeight w:val="237"/>
        </w:trPr>
        <w:tc>
          <w:tcPr>
            <w:tcW w:w="7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80" w:type="dxa"/>
            <w:vAlign w:val="bottom"/>
          </w:tcPr>
          <w:p>
            <w:pPr>
              <w:spacing w:after="0"/>
              <w:rPr>
                <w:sz w:val="20"/>
                <w:szCs w:val="20"/>
                <w:color w:val="auto"/>
              </w:rPr>
            </w:pPr>
          </w:p>
        </w:tc>
      </w:tr>
      <w:tr>
        <w:trPr>
          <w:trHeight w:val="60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Annelies Denecker</w:t>
            </w:r>
          </w:p>
        </w:tc>
        <w:tc>
          <w:tcPr>
            <w:tcW w:w="80" w:type="dxa"/>
            <w:vAlign w:val="bottom"/>
          </w:tcPr>
          <w:p>
            <w:pPr>
              <w:spacing w:after="0"/>
              <w:rPr>
                <w:sz w:val="24"/>
                <w:szCs w:val="24"/>
                <w:color w:val="auto"/>
              </w:rPr>
            </w:pPr>
          </w:p>
        </w:tc>
      </w:tr>
      <w:tr>
        <w:trPr>
          <w:trHeight w:val="218"/>
        </w:trPr>
        <w:tc>
          <w:tcPr>
            <w:tcW w:w="7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Annelies Denecker</w:t>
            </w:r>
          </w:p>
        </w:tc>
        <w:tc>
          <w:tcPr>
            <w:tcW w:w="80" w:type="dxa"/>
            <w:vAlign w:val="bottom"/>
            <w:tcBorders>
              <w:top w:val="single" w:sz="8" w:color="auto"/>
            </w:tcBorders>
          </w:tcPr>
          <w:p>
            <w:pPr>
              <w:spacing w:after="0"/>
              <w:rPr>
                <w:sz w:val="18"/>
                <w:szCs w:val="18"/>
                <w:color w:val="auto"/>
              </w:rPr>
            </w:pPr>
          </w:p>
        </w:tc>
      </w:tr>
      <w:tr>
        <w:trPr>
          <w:trHeight w:val="234"/>
        </w:trPr>
        <w:tc>
          <w:tcPr>
            <w:tcW w:w="7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c>
          <w:tcPr>
            <w:tcW w:w="8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Galapagos Reports First Quarter 2026 Financial Results and Provides Business Update</w:t>
      </w:r>
    </w:p>
    <w:p>
      <w:pPr>
        <w:spacing w:after="0" w:line="204" w:lineRule="exact"/>
        <w:rPr>
          <w:sz w:val="20"/>
          <w:szCs w:val="20"/>
          <w:color w:val="auto"/>
        </w:rPr>
      </w:pPr>
    </w:p>
    <w:p>
      <w:pPr>
        <w:ind w:right="33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Galapagos’ name change to Lakefront Biotherapeutics approved at the Company’s EGM (Euronext &amp; NASDAQ: LKFT)</w:t>
      </w:r>
    </w:p>
    <w:p>
      <w:pPr>
        <w:spacing w:after="0" w:line="172"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Collaboration Agreement with Gilead to advance potential First and Best-in-Class T Cell Engager expected to close in the Second Quarter of 2026</w:t>
      </w:r>
    </w:p>
    <w:p>
      <w:pPr>
        <w:spacing w:after="0" w:line="1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Following this transaction, including estimated associated R&amp;D spend until first approval, the Company will continue to have a majority of its current cash remaining for additional strategic transactions and other capital allocation priorities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Year-end 2026 cash and financial investments balance expected to be approximately €2B</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Management to host conference call on May 7, 2026, at 14:00 CET / 8:00 am ET</w:t>
      </w:r>
    </w:p>
    <w:p>
      <w:pPr>
        <w:spacing w:after="0" w:line="23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22"/>
          <w:szCs w:val="22"/>
          <w:b w:val="1"/>
          <w:bCs w:val="1"/>
          <w:color w:val="auto"/>
        </w:rPr>
        <w:t>Mechelen, Belgium; May 6, 2026, 22:01 CET; regulated information – Galapagos NV (Euronext &amp; NASDAQ: GLPG) today reported its financial results for the first quarter of 2026 and provided a business update.</w:t>
      </w:r>
    </w:p>
    <w:p>
      <w:pPr>
        <w:spacing w:after="0" w:line="18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“Having joined the company just one year ago, I’m thrilled with our progress. I am looking forward to consummating our partnership with Gilead and adding Ouro Medicines’ talented team and its portfolio of programs to our Company, including the potential first and best in class T cell engager in autoimmune diseases, gamgertamig (OM336). We are excited that our Company is rebranding as Lakefront Biotherapeutics as this name reflects our Company’s strategic evolution,” said Henry Gosebruch, Chief Executive Officer of Galapagos.</w:t>
      </w:r>
    </w:p>
    <w:p>
      <w:pPr>
        <w:spacing w:after="0" w:line="20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1"/>
          <w:szCs w:val="21"/>
          <w:color w:val="auto"/>
        </w:rPr>
        <w:t>Aaron Cox, Chief Financial Officer of Galapagos, added, “Following the anticipated use of cash to fund our collaboration with Gilead concerning its acquisition of Ouro Medicines, the Company will remain robustly capitalized and will have increased flexibility, including the ability to spend up to $500 million for business development independent of Gilead and not subject to our 2019 Option, License, and Collaboration Agreement with Gilead. This would also include the potential to use up to $150 million of that $500 million for share repurchases to the extent that we have available distributable reserves. In addition to the upfront consideration of $837.5 million, we anticipate additional 2026 Ouro-related cash expenditures to be in the range of €60-75 million, inclusive of R&amp;D costs, one-time transaction costs and assuming a mid-year closing of the transaction.”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Business Update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March 31, 2026, the Company announced that it has entered into a binding agreement (the “Framework Agreement”) with Gilead Sciences, Inc. (“Gilead”) (the “Transaction”) in connection with Gilead’s definitive agreement to acquire all of the outstanding equity interests of US-based Ouro Medicines, LLC (“Ouro”), a privately held biotechnology company focused on developing T cell engager therapies for autoimmune diseases.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Gamgertamig (OM336) is a clinical stage BCMAxCD3 T cell engager designed to enable rapid and deep plasma and B cell depletion following a short duration, subcutaneously administered treatment course. In ongoing Phase 1/2 clinical studies, gamgertamig has demonstrated transformative efficacy and a differentiated safety profile after a single treatment cycle in severe antibody-mediated orphan diseases, including autoimmune hemolytic anemia (AIHA) and immune thrombocytopenia (ITP).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Gamgertamig has been granted both Fast Track and Orphan Drug Designation by the U.S. FDA for the treatment of AIHA and ITP and is expected to enter registrational studies as early as 2027.</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BCMA-targeted T cell engagers are being investigated as a precision approach for severe inflammatory and autoimmune diseases by eliminating pathogenic B cells and plasma cells. By redirecting a patient’s own T cells toward BCMA-expressing plasma cells, clinical data suggest these agents can reduce inflammation, improve organ-level disease, and in some cases enable durable, drug-free remission without ongoing immunosuppression.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Update on Binding Agreement with Gilead</w:t>
      </w:r>
    </w:p>
    <w:p>
      <w:pPr>
        <w:spacing w:after="0" w:line="210"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color w:val="auto"/>
        </w:rPr>
        <w:t>The Company expects the Transaction to close in the second quarter of 2026, subject to the fulfillment of the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2" w:lineRule="auto"/>
        <w:rPr>
          <w:sz w:val="20"/>
          <w:szCs w:val="20"/>
          <w:color w:val="auto"/>
        </w:rPr>
      </w:pPr>
      <w:r>
        <w:rPr>
          <w:rFonts w:ascii="Times New Roman" w:cs="Times New Roman" w:eastAsia="Times New Roman" w:hAnsi="Times New Roman"/>
          <w:sz w:val="22"/>
          <w:szCs w:val="22"/>
          <w:color w:val="auto"/>
        </w:rPr>
        <w:t>Galapagos expects to assume substantially all of Ouro’s operating assets and personnel (approximately 20 employees), such that the Company would obtain an operating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ind w:left="540"/>
        <w:spacing w:after="0" w:line="180" w:lineRule="auto"/>
        <w:rPr>
          <w:sz w:val="20"/>
          <w:szCs w:val="20"/>
          <w:color w:val="auto"/>
        </w:rPr>
      </w:pPr>
      <w:r>
        <w:rPr>
          <w:rFonts w:ascii="Times New Roman" w:cs="Times New Roman" w:eastAsia="Times New Roman" w:hAnsi="Times New Roman"/>
          <w:sz w:val="21"/>
          <w:szCs w:val="21"/>
          <w:color w:val="auto"/>
        </w:rPr>
        <w:t>Galapagos and Gilead will equally split the upfront payment of $1.675 billion (~€1.425 billion</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subject to customary adjustments, and contingent milestone payments of up to $500 million (~€425 million</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Galapagos and Gilead will collaborate on the development of gamgertamig, with Galapagos responsible for the development costs through initiation of registrational studies, after which the development costs will be shared equally. Galapagos is eligible for up to $100 million in development milestones payments for gamgertamig in certain other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58" w:lineRule="auto"/>
        <w:rPr>
          <w:sz w:val="20"/>
          <w:szCs w:val="20"/>
          <w:color w:val="auto"/>
        </w:rPr>
      </w:pPr>
      <w:r>
        <w:rPr>
          <w:rFonts w:ascii="Times New Roman" w:cs="Times New Roman" w:eastAsia="Times New Roman" w:hAnsi="Times New Roman"/>
          <w:sz w:val="21"/>
          <w:szCs w:val="21"/>
          <w:color w:val="auto"/>
        </w:rPr>
        <w:t>Galapagos will fund its share of payments owed to KeyMed Biosciences Chengdu Co., Ltd. (“KeyMed”), comprising 25% of the milestone payments and 50% of the royalty payments that become due to KeyMed with respect to gamgertamig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-279400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94" w:orient="portrait"/>
          <w:cols w:equalWidth="0" w:num="1">
            <w:col w:w="11240"/>
          </w:cols>
          <w:pgMar w:left="320" w:top="108" w:right="339" w:bottom="0" w:gutter="0" w:footer="0" w:header="0"/>
        </w:sectPr>
      </w:pPr>
    </w:p>
    <w:bookmarkStart w:id="4" w:name="page5"/>
    <w:bookmarkEnd w:id="4"/>
    <w:p>
      <w:pPr>
        <w:spacing w:after="0" w:line="62" w:lineRule="exact"/>
        <w:rPr>
          <w:sz w:val="20"/>
          <w:szCs w:val="20"/>
          <w:color w:val="auto"/>
        </w:rPr>
      </w:pPr>
    </w:p>
    <w:p>
      <w:pPr>
        <w:jc w:val="both"/>
        <w:ind w:left="540"/>
        <w:spacing w:after="0" w:line="242" w:lineRule="auto"/>
        <w:rPr>
          <w:sz w:val="20"/>
          <w:szCs w:val="20"/>
          <w:color w:val="auto"/>
        </w:rPr>
      </w:pPr>
      <w:r>
        <w:rPr>
          <w:rFonts w:ascii="Times New Roman" w:cs="Times New Roman" w:eastAsia="Times New Roman" w:hAnsi="Times New Roman"/>
          <w:sz w:val="22"/>
          <w:szCs w:val="22"/>
          <w:color w:val="auto"/>
        </w:rPr>
        <w:t>products. Based on Ouro’s original transaction with Keymed, Keymed is entitled to total development and commercial milestones of up to $610 million and tiered royalties of 7%-14% of net sales for gamgertamig.</w:t>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Gilead will retain sole worldwide commercialization rights, including all related costs, globally outside of Keymed’s territories, and Galapagos will receive tiered royalties of 20%–23% on net sales of gamgertamig from Gilead.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97" w:lineRule="auto"/>
        <w:rPr>
          <w:sz w:val="20"/>
          <w:szCs w:val="20"/>
          <w:color w:val="auto"/>
        </w:rPr>
      </w:pPr>
      <w:r>
        <w:rPr>
          <w:rFonts w:ascii="Times New Roman" w:cs="Times New Roman" w:eastAsia="Times New Roman" w:hAnsi="Times New Roman"/>
          <w:sz w:val="22"/>
          <w:szCs w:val="22"/>
          <w:color w:val="auto"/>
        </w:rPr>
        <w:t>Galapagos will gain a preclinical portfolio of three additional autoimmune focused programs originally from Ouro, with an opt-in for Gilead for a 50/50 profit split post clinical proof-of-concept for $75 million (~€64 million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199" w:lineRule="auto"/>
        <w:rPr>
          <w:sz w:val="20"/>
          <w:szCs w:val="20"/>
          <w:color w:val="auto"/>
        </w:rPr>
      </w:pPr>
      <w:r>
        <w:rPr>
          <w:rFonts w:ascii="Times New Roman" w:cs="Times New Roman" w:eastAsia="Times New Roman" w:hAnsi="Times New Roman"/>
          <w:sz w:val="22"/>
          <w:szCs w:val="22"/>
          <w:color w:val="auto"/>
        </w:rPr>
        <w:t>The proposed arrangements will amend the existing collaboration terms with Gilead to designate $500 million (~€425 million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of Galapagos’ cash available for R&amp;D or strategic transactions outside of Gilead partnerships, including up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197" w:lineRule="auto"/>
        <w:rPr>
          <w:sz w:val="20"/>
          <w:szCs w:val="20"/>
          <w:color w:val="auto"/>
        </w:rPr>
      </w:pPr>
      <w:r>
        <w:rPr>
          <w:rFonts w:ascii="Times New Roman" w:cs="Times New Roman" w:eastAsia="Times New Roman" w:hAnsi="Times New Roman"/>
          <w:sz w:val="22"/>
          <w:szCs w:val="22"/>
          <w:color w:val="auto"/>
        </w:rPr>
        <w:t>$150 million (~€128 million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of this $500 million (~€425 million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for potential return of capital, subject to certain limitations.</w:t>
      </w:r>
    </w:p>
    <w:p>
      <w:pPr>
        <w:spacing w:after="0" w:line="2" w:lineRule="exact"/>
        <w:rPr>
          <w:sz w:val="20"/>
          <w:szCs w:val="20"/>
          <w:color w:val="auto"/>
        </w:rPr>
      </w:pPr>
    </w:p>
    <w:p>
      <w:pPr>
        <w:jc w:val="both"/>
        <w:ind w:left="540"/>
        <w:spacing w:after="0" w:line="195" w:lineRule="auto"/>
        <w:rPr>
          <w:sz w:val="20"/>
          <w:szCs w:val="20"/>
          <w:color w:val="auto"/>
        </w:rPr>
      </w:pPr>
      <w:r>
        <w:rPr>
          <w:rFonts w:ascii="Times New Roman" w:cs="Times New Roman" w:eastAsia="Times New Roman" w:hAnsi="Times New Roman"/>
          <w:sz w:val="22"/>
          <w:szCs w:val="22"/>
          <w:color w:val="auto"/>
        </w:rPr>
        <w:t>In addition to the upfront payment of $837.5 million (~€713 million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the range of spending expected (including transaction expenses, operating expenses, milestones, and royalties) in 2026 is €60-€75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Following this transaction, including estimated associated R&amp;D spend until first approval, the Company will continue to have a majority of its current cash of approximately €3B remaining for additional strategic transactions and other capital allocation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23" w:lineRule="exact"/>
        <w:rPr>
          <w:sz w:val="20"/>
          <w:szCs w:val="20"/>
          <w:color w:val="auto"/>
        </w:rPr>
      </w:pPr>
    </w:p>
    <w:p>
      <w:pPr>
        <w:ind w:left="160" w:hanging="152"/>
        <w:spacing w:after="0"/>
        <w:tabs>
          <w:tab w:leader="none" w:pos="1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Converted at a rate €/$ 1.175, consistent with year-end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CORPORATE</w:t>
      </w:r>
    </w:p>
    <w:p>
      <w:pPr>
        <w:spacing w:after="0" w:line="210"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2"/>
          <w:szCs w:val="22"/>
          <w:color w:val="auto"/>
        </w:rPr>
        <w:t>At the Company’s Annual and Extraordinary Shareholders’ Meeting held on April 28, 2026 (the “AGM” and “EGM”) all proposed resolutions were approved (see: press release of April 28, 2026), among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80"/>
        <w:spacing w:after="0" w:line="230" w:lineRule="auto"/>
        <w:rPr>
          <w:sz w:val="20"/>
          <w:szCs w:val="20"/>
          <w:color w:val="auto"/>
        </w:rPr>
      </w:pPr>
      <w:r>
        <w:rPr>
          <w:rFonts w:ascii="Times New Roman" w:cs="Times New Roman" w:eastAsia="Times New Roman" w:hAnsi="Times New Roman"/>
          <w:sz w:val="22"/>
          <w:szCs w:val="22"/>
          <w:color w:val="auto"/>
        </w:rPr>
        <w:t>the name change to Lakefront Biotherapeutics, with effect as of May 8, 2026. Our ticker on Euronext and NASDAQ (ADRs) will change to LKFT;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Gino Santini’s appointment as a member of our Board of Directors, and pursuant to a vote of our Board of Directors, Gino became the new Chair of our Board of Directors. Gino replaces Jérôme Contamine, whose four-year mandate as a member of the Board of Directors ended upon the conclusions of the AGM; the authorization to acquire the Company’s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-565785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44" w:lineRule="auto"/>
        <w:rPr>
          <w:sz w:val="20"/>
          <w:szCs w:val="20"/>
          <w:color w:val="auto"/>
        </w:rPr>
      </w:pPr>
      <w:r>
        <w:rPr>
          <w:rFonts w:ascii="Times New Roman" w:cs="Times New Roman" w:eastAsia="Times New Roman" w:hAnsi="Times New Roman"/>
          <w:sz w:val="21"/>
          <w:szCs w:val="21"/>
          <w:color w:val="auto"/>
        </w:rPr>
        <w:t>In April 2026, Coultreon Biopharma BV (“Coultreon”), previously named Onco3R Therapeutics BV, announced the closing of an oversubscribed $125 million Series A financing round. The financing will support the clinical development of Coultreon’s lead immunology program, COL-5671 (formerly O3R-5671), a highly selective SIK3 inhibitor in Phase 1, with potential to demonstrate clinical proof-of-concept in 2027. COL-5671 was initially developed by Galapagos and ownership was fully transferred to Coultreon in April 2025, when Galapagos provided seed financing to the company with a convertible note investment that converted into equity ownership in Coultreon in connection with Series A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-885190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IMMUNOLOGY SMALL MOLECULE PIPELINE</w:t>
      </w:r>
    </w:p>
    <w:p>
      <w:pPr>
        <w:spacing w:after="0" w:line="210" w:lineRule="exact"/>
        <w:rPr>
          <w:sz w:val="20"/>
          <w:szCs w:val="20"/>
          <w:color w:val="auto"/>
        </w:rPr>
      </w:pPr>
    </w:p>
    <w:p>
      <w:pPr>
        <w:ind w:left="540" w:right="140"/>
        <w:spacing w:after="0" w:line="244" w:lineRule="auto"/>
        <w:rPr>
          <w:sz w:val="20"/>
          <w:szCs w:val="20"/>
          <w:color w:val="auto"/>
        </w:rPr>
      </w:pPr>
      <w:r>
        <w:rPr>
          <w:rFonts w:ascii="Times New Roman" w:cs="Times New Roman" w:eastAsia="Times New Roman" w:hAnsi="Times New Roman"/>
          <w:sz w:val="22"/>
          <w:szCs w:val="22"/>
          <w:color w:val="auto"/>
        </w:rPr>
        <w:t>As part of our ongoing efforts to maximize the value of the GLPG3667 program for both patients and Galapagos, we are evaluating all strategic options. The GALACELA SLE study with GLPG3667 is currently ongoing, and the final Week 48 data are expected in the second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ONCOLOGY CAR-T CELL THERAPY UPDATE</w:t>
      </w:r>
    </w:p>
    <w:p>
      <w:pPr>
        <w:spacing w:after="0" w:line="210" w:lineRule="exact"/>
        <w:rPr>
          <w:sz w:val="20"/>
          <w:szCs w:val="20"/>
          <w:color w:val="auto"/>
        </w:rPr>
      </w:pPr>
    </w:p>
    <w:p>
      <w:pPr>
        <w:ind w:left="540" w:right="20"/>
        <w:spacing w:after="0" w:line="241" w:lineRule="auto"/>
        <w:rPr>
          <w:sz w:val="20"/>
          <w:szCs w:val="20"/>
          <w:color w:val="auto"/>
        </w:rPr>
      </w:pPr>
      <w:r>
        <w:rPr>
          <w:rFonts w:ascii="Times New Roman" w:cs="Times New Roman" w:eastAsia="Times New Roman" w:hAnsi="Times New Roman"/>
          <w:sz w:val="22"/>
          <w:szCs w:val="22"/>
          <w:color w:val="auto"/>
        </w:rPr>
        <w:t>The Company announced in January 2026 the start of the wind-down of its cell therapy activities. The wind-down remains on schedule and is expected to be substantially completed by the end of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The Company continues to expect 2026 one-time cash costs related to the wind-down to be in the range of €125 million to €175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Guidance</w:t>
      </w:r>
    </w:p>
    <w:p>
      <w:pPr>
        <w:spacing w:after="0" w:line="18"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1"/>
          <w:szCs w:val="21"/>
          <w:color w:val="auto"/>
        </w:rPr>
        <w:t>Galapagos currently estimates 2026 cash spend related to Ouro of approximately €775 million to €790 million, inclusive of the upfront payment, transaction costs, and operating costs assuming a mid-year transaction closing. The Company expects its year end 2026 cash and financial investments balance to be in the range of €1.975 billion to €2.050 billion, which reflects a reduction in prior guidance due to expected cash usage related to the Ouro investment and a corresponding reduction in interest income.</w:t>
      </w:r>
    </w:p>
    <w:p>
      <w:pPr>
        <w:spacing w:after="0" w:line="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Galapagos continues to expect one-time cash restructuring costs of €125 million to €175 million related to the ongoing wind-down of the cell therapy activities. All figures assume a EUR/USD exchange rate of 1.175, consistent with year-end 2025. These estimates are subject to change and depend on the timing of closing, final transaction scope, integration activities, exchange rate fluctuations, and remaining cell therapy wind-down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figures for the first quarter of 2026 (consolidated)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millions, except basic &amp; diluted earnings/loss (-) per share)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220" w:type="dxa"/>
            <w:vAlign w:val="bottom"/>
            <w:tcBorders>
              <w:bottom w:val="single" w:sz="8" w:color="auto"/>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March 31, 2026</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March 31, 2025</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Change</w:t>
            </w:r>
          </w:p>
        </w:tc>
      </w:tr>
      <w:tr>
        <w:trPr>
          <w:trHeight w:val="264"/>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Supply revenues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4.9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13.8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-64%</w:t>
            </w:r>
          </w:p>
        </w:tc>
      </w:tr>
      <w:tr>
        <w:trPr>
          <w:trHeight w:val="264"/>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Collaboration revenues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1.6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61.2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-97%</w:t>
            </w:r>
          </w:p>
        </w:tc>
      </w:tr>
      <w:tr>
        <w:trPr>
          <w:trHeight w:val="110"/>
        </w:trPr>
        <w:tc>
          <w:tcPr>
            <w:tcW w:w="5220" w:type="dxa"/>
            <w:vAlign w:val="bottom"/>
            <w:tcBorders>
              <w:left w:val="single" w:sz="8" w:color="auto"/>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r>
    </w:tbl>
    <w:p>
      <w:pPr>
        <w:sectPr>
          <w:pgSz w:w="11900" w:h="16900" w:orient="portrait"/>
          <w:cols w:equalWidth="0" w:num="1">
            <w:col w:w="11240"/>
          </w:cols>
          <w:pgMar w:left="320" w:top="112" w:right="339" w:bottom="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net revenues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6.5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75.0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-91%</w:t>
            </w: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Cost of sales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(13.8)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-65%</w:t>
            </w:r>
          </w:p>
        </w:tc>
      </w:tr>
      <w:tr>
        <w:trPr>
          <w:trHeight w:val="264"/>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R&amp;D expenses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(31.0)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(182.7)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220" w:type="dxa"/>
            <w:vAlign w:val="bottom"/>
            <w:tcBorders>
              <w:top w:val="single" w:sz="8" w:color="auto"/>
              <w:left w:val="single" w:sz="8" w:color="auto"/>
              <w:bottom w:val="single" w:sz="8" w:color="auto"/>
              <w:right w:val="single" w:sz="8" w:color="auto"/>
            </w:tcBorders>
          </w:tcPr>
          <w:p>
            <w:pPr>
              <w:ind w:left="40"/>
              <w:spacing w:after="0" w:line="338" w:lineRule="exact"/>
              <w:rPr>
                <w:sz w:val="20"/>
                <w:szCs w:val="20"/>
                <w:color w:val="auto"/>
              </w:rPr>
            </w:pPr>
            <w:r>
              <w:rPr>
                <w:rFonts w:ascii="Times New Roman" w:cs="Times New Roman" w:eastAsia="Times New Roman" w:hAnsi="Times New Roman"/>
                <w:sz w:val="22"/>
                <w:szCs w:val="22"/>
                <w:color w:val="auto"/>
              </w:rPr>
              <w:t>G&amp;A</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and S&amp;M</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expenses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(35.5)</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(43.8)</w:t>
            </w:r>
          </w:p>
        </w:tc>
        <w:tc>
          <w:tcPr>
            <w:tcW w:w="1540" w:type="dxa"/>
            <w:vAlign w:val="bottom"/>
            <w:tcBorders>
              <w:top w:val="single" w:sz="8" w:color="auto"/>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-19%</w:t>
            </w: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Other operating income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1.1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6.6</w:t>
            </w:r>
          </w:p>
        </w:tc>
        <w:tc>
          <w:tcPr>
            <w:tcW w:w="154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-83%</w:t>
            </w:r>
          </w:p>
        </w:tc>
      </w:tr>
      <w:tr>
        <w:trPr>
          <w:trHeight w:val="28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(63.7)</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(158.7)</w:t>
            </w:r>
          </w:p>
        </w:tc>
        <w:tc>
          <w:tcPr>
            <w:tcW w:w="1540" w:type="dxa"/>
            <w:vAlign w:val="bottom"/>
            <w:tcBorders>
              <w:right w:val="single" w:sz="8" w:color="auto"/>
            </w:tcBorders>
          </w:tcPr>
          <w:p>
            <w:pPr>
              <w:spacing w:after="0"/>
              <w:rPr>
                <w:sz w:val="24"/>
                <w:szCs w:val="24"/>
                <w:color w:val="auto"/>
              </w:rPr>
            </w:pPr>
          </w:p>
        </w:tc>
      </w:tr>
      <w:tr>
        <w:trPr>
          <w:trHeight w:val="227"/>
        </w:trPr>
        <w:tc>
          <w:tcPr>
            <w:tcW w:w="522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Fair value adjustments and net exchange­ differences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64.3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(9.4)</w:t>
            </w:r>
          </w:p>
        </w:tc>
        <w:tc>
          <w:tcPr>
            <w:tcW w:w="1540" w:type="dxa"/>
            <w:vAlign w:val="bottom"/>
            <w:tcBorders>
              <w:bottom w:val="single" w:sz="8" w:color="auto"/>
              <w:right w:val="single" w:sz="8" w:color="auto"/>
            </w:tcBorders>
          </w:tcPr>
          <w:p>
            <w:pPr>
              <w:spacing w:after="0"/>
              <w:rPr>
                <w:sz w:val="22"/>
                <w:szCs w:val="22"/>
                <w:color w:val="auto"/>
              </w:rPr>
            </w:pPr>
          </w:p>
        </w:tc>
      </w:tr>
      <w:tr>
        <w:trPr>
          <w:trHeight w:val="264"/>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Net other financial result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13.4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11.8</w:t>
            </w:r>
          </w:p>
        </w:tc>
        <w:tc>
          <w:tcPr>
            <w:tcW w:w="1540" w:type="dxa"/>
            <w:vAlign w:val="bottom"/>
            <w:tcBorders>
              <w:bottom w:val="single" w:sz="8" w:color="auto"/>
              <w:right w:val="single" w:sz="8" w:color="auto"/>
            </w:tcBorders>
          </w:tcPr>
          <w:p>
            <w:pPr>
              <w:spacing w:after="0"/>
              <w:rPr>
                <w:sz w:val="22"/>
                <w:szCs w:val="22"/>
                <w:color w:val="auto"/>
              </w:rPr>
            </w:pP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Income taxes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1.8</w:t>
            </w:r>
          </w:p>
        </w:tc>
        <w:tc>
          <w:tcPr>
            <w:tcW w:w="1540" w:type="dxa"/>
            <w:vAlign w:val="bottom"/>
            <w:tcBorders>
              <w:bottom w:val="single" w:sz="8" w:color="auto"/>
              <w:right w:val="single" w:sz="8" w:color="auto"/>
            </w:tcBorders>
          </w:tcPr>
          <w:p>
            <w:pPr>
              <w:spacing w:after="0"/>
              <w:rPr>
                <w:sz w:val="22"/>
                <w:szCs w:val="22"/>
                <w:color w:val="auto"/>
              </w:rPr>
            </w:pP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 from continuing operations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13.9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(154.5)</w:t>
            </w:r>
          </w:p>
        </w:tc>
        <w:tc>
          <w:tcPr>
            <w:tcW w:w="1540" w:type="dxa"/>
            <w:vAlign w:val="bottom"/>
            <w:tcBorders>
              <w:bottom w:val="single" w:sz="8" w:color="auto"/>
              <w:right w:val="single" w:sz="8" w:color="auto"/>
            </w:tcBorders>
          </w:tcPr>
          <w:p>
            <w:pPr>
              <w:spacing w:after="0"/>
              <w:rPr>
                <w:sz w:val="22"/>
                <w:szCs w:val="22"/>
                <w:color w:val="auto"/>
              </w:rPr>
            </w:pP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Net profit from discontinued operations, net of tax</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1.1</w:t>
            </w:r>
          </w:p>
        </w:tc>
        <w:tc>
          <w:tcPr>
            <w:tcW w:w="1540" w:type="dxa"/>
            <w:vAlign w:val="bottom"/>
            <w:tcBorders>
              <w:bottom w:val="single" w:sz="8" w:color="auto"/>
              <w:right w:val="single" w:sz="8" w:color="auto"/>
            </w:tcBorders>
          </w:tcPr>
          <w:p>
            <w:pPr>
              <w:spacing w:after="0"/>
              <w:rPr>
                <w:sz w:val="22"/>
                <w:szCs w:val="22"/>
                <w:color w:val="auto"/>
              </w:rPr>
            </w:pP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 of the period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14.5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(153.4)</w:t>
            </w:r>
          </w:p>
        </w:tc>
        <w:tc>
          <w:tcPr>
            <w:tcW w:w="1540" w:type="dxa"/>
            <w:vAlign w:val="bottom"/>
            <w:tcBorders>
              <w:bottom w:val="single" w:sz="8" w:color="auto"/>
              <w:right w:val="single" w:sz="8" w:color="auto"/>
            </w:tcBorders>
          </w:tcPr>
          <w:p>
            <w:pPr>
              <w:spacing w:after="0"/>
              <w:rPr>
                <w:sz w:val="22"/>
                <w:szCs w:val="22"/>
                <w:color w:val="auto"/>
              </w:rPr>
            </w:pPr>
          </w:p>
        </w:tc>
      </w:tr>
      <w:tr>
        <w:trPr>
          <w:trHeight w:val="263"/>
        </w:trPr>
        <w:tc>
          <w:tcPr>
            <w:tcW w:w="5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Basic and diluted earnings/loss (-) per share (€)</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0.2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(2.3)</w:t>
            </w:r>
          </w:p>
        </w:tc>
        <w:tc>
          <w:tcPr>
            <w:tcW w:w="1540" w:type="dxa"/>
            <w:vAlign w:val="bottom"/>
            <w:tcBorders>
              <w:bottom w:val="single" w:sz="8" w:color="auto"/>
              <w:right w:val="single" w:sz="8" w:color="auto"/>
            </w:tcBorders>
          </w:tcPr>
          <w:p>
            <w:pPr>
              <w:spacing w:after="0"/>
              <w:rPr>
                <w:sz w:val="22"/>
                <w:szCs w:val="22"/>
                <w:color w:val="auto"/>
              </w:rPr>
            </w:pPr>
          </w:p>
        </w:tc>
      </w:tr>
      <w:tr>
        <w:trPr>
          <w:trHeight w:val="280"/>
        </w:trPr>
        <w:tc>
          <w:tcPr>
            <w:tcW w:w="52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Financial investments, cash &amp; cash equivalents</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2,982.2</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3,297.3</w:t>
            </w:r>
          </w:p>
        </w:tc>
        <w:tc>
          <w:tcPr>
            <w:tcW w:w="154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Details of the financial results for the first quarter of 2026</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Total operating loss from continuing operations </w:t>
      </w:r>
      <w:r>
        <w:rPr>
          <w:rFonts w:ascii="Times New Roman" w:cs="Times New Roman" w:eastAsia="Times New Roman" w:hAnsi="Times New Roman"/>
          <w:sz w:val="22"/>
          <w:szCs w:val="22"/>
          <w:color w:val="auto"/>
        </w:rPr>
        <w:t>for the first three months of 2026 amounted to €63.7 million, compared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operating loss of €158.7 million for the first three months of 2025. The operating loss in 2025 was negatively impacted by the executed strategic reorganization announced in January 2025, for €111.0 million. This was mainly reflected in severance costs of €47.5 million, costs for early termination of collaborations of €42.1 million and impairment on fixed assets related to small molecules activities of €10.2 million, professional services costs of €6.6 million and €4.2 million accelerated non-cash cost recognition for subscription right plans.</w:t>
      </w:r>
    </w:p>
    <w:p>
      <w:pPr>
        <w:spacing w:after="0" w:line="175" w:lineRule="exact"/>
        <w:rPr>
          <w:sz w:val="20"/>
          <w:szCs w:val="20"/>
          <w:color w:val="auto"/>
        </w:rPr>
      </w:pPr>
    </w:p>
    <w:p>
      <w:pPr>
        <w:jc w:val="both"/>
        <w:ind w:left="54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Total net revenues </w:t>
      </w:r>
      <w:r>
        <w:rPr>
          <w:rFonts w:ascii="Times New Roman" w:cs="Times New Roman" w:eastAsia="Times New Roman" w:hAnsi="Times New Roman"/>
          <w:sz w:val="22"/>
          <w:szCs w:val="22"/>
          <w:color w:val="auto"/>
        </w:rPr>
        <w:t>amounted to €6.5 million for the first three months of 2026, compared to €75.0 million for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months of 2025. The revenue recognition related to the exclusive access rights granted to Gilead for Galapagos’ drug discovery platform amounted to €57.6 million for the first three months of 2025. The deferred income related to the drug discovery platform was fully released in revenue at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Cost of sales </w:t>
      </w:r>
      <w:r>
        <w:rPr>
          <w:rFonts w:ascii="Times New Roman" w:cs="Times New Roman" w:eastAsia="Times New Roman" w:hAnsi="Times New Roman"/>
          <w:sz w:val="22"/>
          <w:szCs w:val="22"/>
          <w:color w:val="auto"/>
        </w:rPr>
        <w:t>amounted to €4.8 million for the first three months of 2026, compared to €13.8 million for the first three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of 2025, and related to the supply of Jyseleca® to Alfasigma under the transition agreement. The related revenues are reported in total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R&amp;D expenses </w:t>
      </w:r>
      <w:r>
        <w:rPr>
          <w:rFonts w:ascii="Times New Roman" w:cs="Times New Roman" w:eastAsia="Times New Roman" w:hAnsi="Times New Roman"/>
          <w:sz w:val="22"/>
          <w:szCs w:val="22"/>
          <w:color w:val="auto"/>
        </w:rPr>
        <w:t>amounted to €31.0 million for the first three months of 2026, compared to €182.7 million for the first three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of 2025. In the first three months of 2025, the Company recorded increased personnel expenses (mainly related to severance costs), an impairment on fixed assets (related to small molecules programs) and a provision for early termination of collaboration agreements. On top, due to the wind-down of the cell therapy activities the spending in the CAR-T programs decreased in the first three months of 2026 as compared to the first three months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-719455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S&amp;M and G&amp;A expenses </w:t>
      </w:r>
      <w:r>
        <w:rPr>
          <w:rFonts w:ascii="Times New Roman" w:cs="Times New Roman" w:eastAsia="Times New Roman" w:hAnsi="Times New Roman"/>
          <w:sz w:val="22"/>
          <w:szCs w:val="22"/>
          <w:color w:val="auto"/>
        </w:rPr>
        <w:t>amounted to €35.5 million for the first three months of 2026, compared to €43.8 million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three months of 2025. This decrease was mainly due to lower personnel costs (primarily severance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Other operating income </w:t>
      </w:r>
      <w:r>
        <w:rPr>
          <w:rFonts w:ascii="Times New Roman" w:cs="Times New Roman" w:eastAsia="Times New Roman" w:hAnsi="Times New Roman"/>
          <w:sz w:val="22"/>
          <w:szCs w:val="22"/>
          <w:color w:val="auto"/>
        </w:rPr>
        <w:t>amounted to €1.1 million for the first three months of 2026, compared to €6.6 million for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months of 2025, mainly driven by lower grant and R&amp;D incentives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financial income </w:t>
      </w:r>
      <w:r>
        <w:rPr>
          <w:rFonts w:ascii="Times New Roman" w:cs="Times New Roman" w:eastAsia="Times New Roman" w:hAnsi="Times New Roman"/>
          <w:sz w:val="22"/>
          <w:szCs w:val="22"/>
          <w:color w:val="auto"/>
        </w:rPr>
        <w:t>amounted to €77.7 million for the first three months of 2026, compared to net financial income of €2.4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the first three months of 2025.</w:t>
      </w:r>
    </w:p>
    <w:p>
      <w:pPr>
        <w:spacing w:after="0" w:line="150" w:lineRule="exact"/>
        <w:rPr>
          <w:sz w:val="20"/>
          <w:szCs w:val="20"/>
          <w:color w:val="auto"/>
        </w:rPr>
      </w:pPr>
    </w:p>
    <w:p>
      <w:pPr>
        <w:jc w:val="both"/>
        <w:ind w:left="54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Fair value adjustments and net currency exchange results </w:t>
      </w:r>
      <w:r>
        <w:rPr>
          <w:rFonts w:ascii="Times New Roman" w:cs="Times New Roman" w:eastAsia="Times New Roman" w:hAnsi="Times New Roman"/>
          <w:sz w:val="21"/>
          <w:szCs w:val="21"/>
          <w:color w:val="auto"/>
        </w:rPr>
        <w:t>amounted to a positive amount of €64.3 million for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three months of 2026, compared to a negative amount of €9.4 million for the first three months of 2025, and were primarily attributable to €40.0 million of positive changes in fair value of financial investments and €23.8 million of unrealized currency exchange gains on our cash and cash equivalents and financial investments at amortized cost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Net other financial income </w:t>
      </w:r>
      <w:r>
        <w:rPr>
          <w:rFonts w:ascii="Times New Roman" w:cs="Times New Roman" w:eastAsia="Times New Roman" w:hAnsi="Times New Roman"/>
          <w:sz w:val="21"/>
          <w:szCs w:val="21"/>
          <w:color w:val="auto"/>
        </w:rPr>
        <w:t>amounted to €13.4 million for the first three months of 2026, compared to net other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income of €11.8 million for the first three months of 2025. Net interest income amounted to €12.9 million for the first three months of 2026, compared to €12.0 million of net interest income for the first three months of 2025. Fair value gains and interest income derived from cash, cash equivalents and financial investments excluding any currency exchange results amounted to €24.4 million for the first three months of 2026 (compared to €24.9 million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-732790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The Company reported a </w:t>
      </w:r>
      <w:r>
        <w:rPr>
          <w:rFonts w:ascii="Times New Roman" w:cs="Times New Roman" w:eastAsia="Times New Roman" w:hAnsi="Times New Roman"/>
          <w:sz w:val="22"/>
          <w:szCs w:val="22"/>
          <w:b w:val="1"/>
          <w:bCs w:val="1"/>
          <w:color w:val="auto"/>
        </w:rPr>
        <w:t>net profit from continuing operations</w:t>
      </w:r>
      <w:r>
        <w:rPr>
          <w:rFonts w:ascii="Times New Roman" w:cs="Times New Roman" w:eastAsia="Times New Roman" w:hAnsi="Times New Roman"/>
          <w:sz w:val="22"/>
          <w:szCs w:val="22"/>
          <w:color w:val="auto"/>
        </w:rPr>
        <w:t xml:space="preserve"> of €13.9 million for the first three months of 2026, compared to a net loss from its continuing operations of €154.5 million for the first three months of 2025.</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profit </w:t>
      </w:r>
      <w:r>
        <w:rPr>
          <w:rFonts w:ascii="Times New Roman" w:cs="Times New Roman" w:eastAsia="Times New Roman" w:hAnsi="Times New Roman"/>
          <w:sz w:val="22"/>
          <w:szCs w:val="22"/>
          <w:color w:val="auto"/>
        </w:rPr>
        <w:t>from discontinued operations related to Jyseleca® amounted to €0.6 million for the first three months of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net profit amounting to €1.1 million for the first three months of 2025.</w:t>
      </w:r>
    </w:p>
    <w:p>
      <w:pPr>
        <w:sectPr>
          <w:pgSz w:w="11900" w:h="16838" w:orient="portrait"/>
          <w:cols w:equalWidth="0" w:num="1">
            <w:col w:w="11240"/>
          </w:cols>
          <w:pgMar w:left="320" w:top="140" w:right="339" w:bottom="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Galapagos reported a </w:t>
      </w:r>
      <w:r>
        <w:rPr>
          <w:rFonts w:ascii="Times New Roman" w:cs="Times New Roman" w:eastAsia="Times New Roman" w:hAnsi="Times New Roman"/>
          <w:sz w:val="22"/>
          <w:szCs w:val="22"/>
          <w:b w:val="1"/>
          <w:bCs w:val="1"/>
          <w:color w:val="auto"/>
        </w:rPr>
        <w:t>net profit</w:t>
      </w:r>
      <w:r>
        <w:rPr>
          <w:rFonts w:ascii="Times New Roman" w:cs="Times New Roman" w:eastAsia="Times New Roman" w:hAnsi="Times New Roman"/>
          <w:sz w:val="22"/>
          <w:szCs w:val="22"/>
          <w:color w:val="auto"/>
        </w:rPr>
        <w:t xml:space="preserve"> of €14.5 million for the first three months of 2026, compared to a net loss of €153.4 million for the first three months of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position</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Financial investments and cash and cash equivalents totaled €2,982.2 million on March 31, 2026, as compared to €2,998.0 million on December 31, 2025. The cash and cash equivalents and financial investments included $2,546.4 million held in U.S. dollars ($2,159.0 million on December 31, 2025) which could generate foreign exchange gains or losses in the financial results in accordance with the fluctuation of the EUR/U.S. dollar exchange rate as the Company’s functional currency is EUR (translated at a rate of 1.1498 €/$ at March 31, 2026).</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Total net decrease in cash and cash equivalents and financial investments </w:t>
      </w:r>
      <w:r>
        <w:rPr>
          <w:rFonts w:ascii="Times New Roman" w:cs="Times New Roman" w:eastAsia="Times New Roman" w:hAnsi="Times New Roman"/>
          <w:sz w:val="22"/>
          <w:szCs w:val="22"/>
          <w:color w:val="auto"/>
        </w:rPr>
        <w:t>amounted to €15.8 million during the first three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of 2026, compared to a net decrease of €20.5 million during the first three months of 2025. This net decrease was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composed of (i) €77.9 million of operational cash burn</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which includes cash in of €16.1 million related to the return on financial investments, (ii) €60.8 million of positive exchange rate differences, positive changes in fair value of current financial investments, variation in accrued interest income, (iii) €1.0 million acquisition of equity investments, and (iv) €2.3 million of net cash in related to the sale of subsidiaries.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 presentation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Galapagos will host a conference call on May 7, 2026, at 14:00 CET / 08:00 AM ET. To participate, please register using this link. Dial-in details will be provided upon registration. Participants can join the call 10 minutes before the start time using the access information received by email or via the “call me” feature. The live call and presentation will be available on www.glpg.com or via the following link. A replay and related materials will be available shortly after the call in the investors section of the website.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Galapagos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Galapagos (to be renamed Lakefront Biotherapeutics as of May 8, 2026) is a biotechnology company built to bring meaningful medicines to patients with serious diseases in therapeutic areas of unmet need. The Company combines world-class deal making expertise with capital to identify, acquire, and advance promising opportunities that have the potential to drive value for patients and shareholders. Applying a modality-agnostic asset selection approach and operational flexibility, Galapagos prioritizes oncology and immunology &amp; inflammation programs with clear clinical proof-of-concept in emerging areas. For more information, visit www.glpg.com or follow us on LinkedIn or 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 Galapagos: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 Spear</w:t>
      </w:r>
    </w:p>
    <w:p>
      <w:pPr>
        <w:spacing w:after="0" w:line="230" w:lineRule="auto"/>
        <w:rPr>
          <w:sz w:val="20"/>
          <w:szCs w:val="20"/>
          <w:color w:val="auto"/>
        </w:rPr>
      </w:pPr>
      <w:r>
        <w:rPr>
          <w:rFonts w:ascii="Times New Roman" w:cs="Times New Roman" w:eastAsia="Times New Roman" w:hAnsi="Times New Roman"/>
          <w:sz w:val="22"/>
          <w:szCs w:val="22"/>
          <w:color w:val="auto"/>
        </w:rPr>
        <w:t>+1 412 522 6418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sherri.spear@glpg.com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“further” as well as similar expressions. These statements include, but are not limited to, the guidance from management regarding our financial results and statements on cash position (including guidance regarding the expected results and operational use of cash for the fiscal year 2026 and statements regarding foreign exchange gains or losses in accordance with the fluctuations of the EUR/U.S. dollar exchange rate); statements regarding our business development strategy, including statements regarding our name change to Lakefront Biotherapeutics and our potential partnering or acquisition opportunities, including with the collaboration arrangements between us and Gilead, and the final terms and expected benefits of such opportunities and collaboration; statements regarding the proposed acquisition by Gilead of Ouro and our proposed collaboration with Gilead on Ouro’s portfolio; statements relating to the expected benefits and potential of gamgertamig and BCMA targeted T cell engagers; statements regarding the potential attributes and benefits of our product candidates and partnered and licensed programs, statements regarding our investments in other companies, including Coultreon and the clinical development of its product candidate COL-5671, and any of our future product candidates or approved products, if any, including statements regarding the expected timing, design and readouts of our ongoing and planned preclinical studies and clinical trials, including but not limited to GLPG3667 in SLE and DM, including recruitment for trials and interim or topline results for trials and studies in our portfolio, statements regarding the potential attributes and benefits of our product candidates, statements regarding our commercialization efforts for our product candidates and any of our future approved products, if any; statements regarding the wind down of our cell therapy activities, including statements regarding the expected costs and benefits of such wind down, the anticipated reduction in work force and related site closures, and the expected timeline for completing such wind down. Galapagos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it operates are</w:t>
      </w:r>
    </w:p>
    <w:p>
      <w:pPr>
        <w:sectPr>
          <w:pgSz w:w="11900" w:h="16838" w:orient="portrait"/>
          <w:cols w:equalWidth="0" w:num="1">
            <w:col w:w="11240"/>
          </w:cols>
          <w:pgMar w:left="320" w:top="108" w:right="339" w:bottom="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21"/>
          <w:szCs w:val="21"/>
          <w:i w:val="1"/>
          <w:iCs w:val="1"/>
          <w:color w:val="auto"/>
        </w:rPr>
        <w:t>consistent with such forward-looking statements, they may not be predictive of results or developments in future periods. Such risks include, but are not limited to, the risk that our expectations and management’s guidance regarding our 2026 operating expenses, cash position and other financial estimates may be incorrect (including because one or more of its assumptions underlying our revenue or expense expectations may not be realized); the risks associated with the changes to our capital allocation strategies; the risk that the potential acquisition by Gilead of Ouro Medicines is not consummated in the expected timing and terms, or at all; the risk that our collaboration with Gilead is not consummated in the expected timing or at all (including as a result of our related party procedures and our ability to satisfy legal and regulatory requirements), or if consummated, the risk that we are not able to realize the benefits of such collaboration; the risk that final terms of such collaboration materially deviate from those described in this press release; the risk that we will not be able to execute on our currently contemplated business plan or strategy and/or will revise our business plan or strategy; risks related to our ability to successfully identify, pursue and consummate new transformational business development transactions, including our ability to identify product candidates that will have commercial success and/or be profitable; risks related to our ability to satisfy legal and regulatory requirements (including antitrust requirements related to both us and Gilead), amend our existing agreement with Gilead, and address other factors outside our control that may impact our ability to consummate any potential transaction timely or at all, or if consummated, to realize the benefits of such transaction; the risks related to our ability to successfully implement the wind down of our cell therapy activities within the expected timeframe or at all, or if implemented, will achieve its anticipated economic benefits; risks related to negative impacts of the wind down (whether or not completed) on our stock price, employee retention, business relationships and business generally (including risk of litigation); risks associated with Galapagos’ product candidates and partnered and licensed programs; the risk that ongoing and future clinical trials may not be completed in the currently envisaged timelines or at all; the inherent risks and uncertainties associated with competitive developments, clinical trials, recruitment of patients, product development activities and regulatory approval requirements (including the possibility of unfavorable new clinical data and further analyses of existing clinical data, the risks related to clinical failure at any stage of clinical development; uncertainty inherent to patient enrollment and enrollment rate, our ability to use and expand our drug discovery efforts, competition, side effects caused by our product candidates, delays in obtaining regulatory approval of manufacturing processes and facilities or disruptions in manufacturing processes, and the rate and degree of market acceptance of our products, if approved), the possibility of differing perspectives and requirements by local regulatory authorities, and new or changing government regulations; risks related to the commercialization of our products, if approved; risks related to our ability to implement our business model, strategic plans for our business, product candidates and technology; risks related to the scope of protection we are able to establish and maintain for intellectual property rights covering our product candidates and technology; risks related to our ability to enter into strategic arrangements and strategic collaboration agreements; risks related to our ability to maintain and establish collaborations; risks related to our ability to attract and retain qualified employees and key personnel); risks related to our reliance on collaborations with third parties (including, but not limited to, our collaboration partner Gilead); the risk that our estimates regarding the commercial potential of our product candidates (if approved) or expectations regarding the costs and revenues associated with the commercialization rights may be inaccurate; and risks related to geopolitical conflicts and macro-economic events. A further list and description of these risks, uncertainties and other risks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results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714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780" w:firstLine="8"/>
        <w:spacing w:after="0" w:line="224" w:lineRule="auto"/>
        <w:tabs>
          <w:tab w:leader="none" w:pos="104" w:val="left"/>
        </w:tabs>
        <w:numPr>
          <w:ilvl w:val="0"/>
          <w:numId w:val="2"/>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32"/>
          <w:szCs w:val="32"/>
          <w:color w:val="auto"/>
          <w:vertAlign w:val="superscript"/>
        </w:rPr>
        <w:t>ii</w:t>
      </w:r>
      <w:r>
        <w:rPr>
          <w:rFonts w:ascii="Times New Roman" w:cs="Times New Roman" w:eastAsia="Times New Roman" w:hAnsi="Times New Roman"/>
          <w:sz w:val="20"/>
          <w:szCs w:val="20"/>
          <w:color w:val="auto"/>
        </w:rPr>
        <w:t xml:space="preserve"> Sales and marketing</w:t>
      </w:r>
    </w:p>
    <w:p>
      <w:pPr>
        <w:spacing w:after="0" w:line="25" w:lineRule="exact"/>
        <w:rPr>
          <w:sz w:val="20"/>
          <w:szCs w:val="20"/>
          <w:color w:val="auto"/>
        </w:rPr>
      </w:pPr>
    </w:p>
    <w:p>
      <w:pPr>
        <w:ind w:right="160" w:firstLine="8"/>
        <w:spacing w:after="0" w:line="190" w:lineRule="auto"/>
        <w:tabs>
          <w:tab w:leader="none" w:pos="204" w:val="left"/>
        </w:tabs>
        <w:numPr>
          <w:ilvl w:val="0"/>
          <w:numId w:val="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operational cash burn (or operational cash flow if this liquidity measure is positive) is equal to the increase or decrease in the cash and cash equivalents (excluding the effect of exchange rate differences on cash and cash equivalents), minus:</w:t>
      </w:r>
    </w:p>
    <w:p>
      <w:pPr>
        <w:ind w:right="240"/>
        <w:spacing w:after="0" w:line="230"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2"/>
          <w:szCs w:val="22"/>
          <w:color w:val="auto"/>
        </w:rPr>
        <w:t>· the net proceeds, if any, from share capital and share premium increases included in the net cash flows generated from/used in (-) financing activities</w:t>
      </w:r>
    </w:p>
    <w:p>
      <w:pPr>
        <w:spacing w:after="0" w:line="1" w:lineRule="exact"/>
        <w:rPr>
          <w:rFonts w:ascii="Times New Roman" w:cs="Times New Roman" w:eastAsia="Times New Roman" w:hAnsi="Times New Roman"/>
          <w:sz w:val="35"/>
          <w:szCs w:val="35"/>
          <w:color w:val="auto"/>
          <w:vertAlign w:val="superscript"/>
        </w:rPr>
      </w:pPr>
    </w:p>
    <w:p>
      <w:pPr>
        <w:ind w:right="140"/>
        <w:spacing w:after="0" w:line="230"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2"/>
          <w:szCs w:val="22"/>
          <w:color w:val="auto"/>
        </w:rPr>
        <w:t>· the net proceeds or cash used, if any, related to the acquisitions or disposals of businesses; the acquisition of financial assets held at fair value through other comprehensive income; the movement in restricted cash and movement in financial investments, if any, the cash advances and loans given to third parties, if any, included in the net cash flows generated from/used in (-) investing activities</w:t>
      </w:r>
    </w:p>
    <w:p>
      <w:pPr>
        <w:spacing w:after="0" w:line="2" w:lineRule="exact"/>
        <w:rPr>
          <w:rFonts w:ascii="Times New Roman" w:cs="Times New Roman" w:eastAsia="Times New Roman" w:hAnsi="Times New Roman"/>
          <w:sz w:val="35"/>
          <w:szCs w:val="35"/>
          <w:color w:val="auto"/>
          <w:vertAlign w:val="superscript"/>
        </w:rPr>
      </w:pPr>
    </w:p>
    <w:p>
      <w:pPr>
        <w:ind w:right="660"/>
        <w:spacing w:after="0" w:line="230"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2"/>
          <w:szCs w:val="22"/>
          <w:color w:val="auto"/>
        </w:rPr>
        <w:t>· the cash used for other liabilities related to the acquisition or disposal of businesses, if any, included in the net cash flows generated from/used in (-) operating activities.</w:t>
      </w:r>
    </w:p>
    <w:p>
      <w:pPr>
        <w:spacing w:after="0" w:line="1" w:lineRule="exact"/>
        <w:rPr>
          <w:rFonts w:ascii="Times New Roman" w:cs="Times New Roman" w:eastAsia="Times New Roman" w:hAnsi="Times New Roman"/>
          <w:sz w:val="35"/>
          <w:szCs w:val="35"/>
          <w:color w:val="auto"/>
          <w:vertAlign w:val="superscript"/>
        </w:rPr>
      </w:pPr>
    </w:p>
    <w:p>
      <w:pPr>
        <w:jc w:val="both"/>
        <w:ind w:right="80"/>
        <w:spacing w:after="0" w:line="233"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2"/>
          <w:szCs w:val="22"/>
          <w:color w:val="auto"/>
        </w:rPr>
        <w:t>This alternative liquidity measure is in the view of the Company an important metric for a biotech company in the development stage. The operational cash burn for the first three months of 2026, amounted to €77.9 million and can be reconciled to the cash flow statement by considering the decrease in cash and cash equivalents of €21.8 million, adjusted by (i) the net sale of financial investments amounting to €54.8 million, (ii) the cash-in related to the sale of subsidiaries of €2.3 million, and (iii) the acquisition of equity investments of €1.0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Addendum</w:t>
      </w:r>
    </w:p>
    <w:p>
      <w:pPr>
        <w:sectPr>
          <w:pgSz w:w="11900" w:h="16838" w:orient="portrait"/>
          <w:cols w:equalWidth="0" w:num="1">
            <w:col w:w="11240"/>
          </w:cols>
          <w:pgMar w:left="320" w:top="110" w:right="339" w:bottom="252" w:gutter="0" w:footer="0" w:header="0"/>
        </w:sectPr>
      </w:pPr>
    </w:p>
    <w:bookmarkStart w:id="8" w:name="page9"/>
    <w:bookmarkEnd w:id="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764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w w:val="99"/>
              </w:rPr>
              <w:t>Consolidated statements of income and comprehensive income/loss (-) (unaudited)</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Consolidated income statement</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Borders>
              <w:right w:val="single" w:sz="8" w:color="auto"/>
            </w:tcBorders>
            <w:gridSpan w:val="4"/>
          </w:tcPr>
          <w:p>
            <w:pPr>
              <w:jc w:val="center"/>
              <w:ind w:right="1052"/>
              <w:spacing w:after="0" w:line="219" w:lineRule="exact"/>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0" w:type="dxa"/>
            <w:vAlign w:val="bottom"/>
          </w:tcPr>
          <w:p>
            <w:pPr>
              <w:spacing w:after="0"/>
              <w:rPr>
                <w:sz w:val="1"/>
                <w:szCs w:val="1"/>
                <w:color w:val="auto"/>
              </w:rPr>
            </w:pPr>
          </w:p>
        </w:tc>
      </w:tr>
      <w:tr>
        <w:trPr>
          <w:trHeight w:val="287"/>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(thousands of €, except per share data)</w:t>
            </w:r>
          </w:p>
        </w:tc>
        <w:tc>
          <w:tcPr>
            <w:tcW w:w="116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gridSpan w:val="3"/>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w w:val="98"/>
              </w:rPr>
              <w:t>March 31</w:t>
            </w:r>
          </w:p>
        </w:tc>
        <w:tc>
          <w:tcPr>
            <w:tcW w:w="0" w:type="dxa"/>
            <w:vAlign w:val="bottom"/>
          </w:tcPr>
          <w:p>
            <w:pPr>
              <w:spacing w:after="0"/>
              <w:rPr>
                <w:sz w:val="1"/>
                <w:szCs w:val="1"/>
                <w:color w:val="auto"/>
              </w:rPr>
            </w:pPr>
          </w:p>
        </w:tc>
      </w:tr>
      <w:tr>
        <w:trPr>
          <w:trHeight w:val="264"/>
        </w:trPr>
        <w:tc>
          <w:tcPr>
            <w:tcW w:w="5920" w:type="dxa"/>
            <w:vAlign w:val="bottom"/>
            <w:tcBorders>
              <w:bottom w:val="single" w:sz="8" w:color="auto"/>
            </w:tcBorders>
            <w:gridSpan w:val="2"/>
            <w:vMerge w:val="continue"/>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Supply revenues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4,905</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13,780</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Collaboration revenues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1,576</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61,197</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Total net revenues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6,481</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74,977</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Cost of sales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(4,799)</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(13,729)</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Research and development expenses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(30,962)</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(182,752)</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Sales and marketing expenses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(2,770)</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(4,174)</w:t>
            </w: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(32,735)</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(39,623)</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Other operating income</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1,082</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6,593</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(63,703)</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(158,708)</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Fair value adjustments and net currency exchange differences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64,241</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(9,443)</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Other financial income</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13,555</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12,564</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Other financial expenses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(137)</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(780)</w:t>
            </w: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Profit/loss (-) before tax</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13,956</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(156,367)</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Income taxes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(70)</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1,814</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 from continuing operations</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13,886</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(154,553)</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 from discontinued operations, net of tax</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606</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1,150</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14,492</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(153,403)</w:t>
            </w: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 attributable to:</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Owners of the parent</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14,492</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(153,403)</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Basic and diluted earnings/loss (-) per share</w:t>
            </w:r>
          </w:p>
        </w:tc>
        <w:tc>
          <w:tcPr>
            <w:tcW w:w="11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0.22</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(2.33)</w:t>
            </w:r>
          </w:p>
        </w:tc>
        <w:tc>
          <w:tcPr>
            <w:tcW w:w="0" w:type="dxa"/>
            <w:vAlign w:val="bottom"/>
          </w:tcPr>
          <w:p>
            <w:pPr>
              <w:spacing w:after="0"/>
              <w:rPr>
                <w:sz w:val="1"/>
                <w:szCs w:val="1"/>
                <w:color w:val="auto"/>
              </w:rPr>
            </w:pPr>
          </w:p>
        </w:tc>
      </w:tr>
      <w:tr>
        <w:trPr>
          <w:trHeight w:val="264"/>
        </w:trPr>
        <w:tc>
          <w:tcPr>
            <w:tcW w:w="70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Basic and diluted earnings/loss (-) per share from continuing operations</w:t>
            </w: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0.21</w:t>
            </w:r>
          </w:p>
        </w:tc>
        <w:tc>
          <w:tcPr>
            <w:tcW w:w="48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(2.35)</w:t>
            </w:r>
          </w:p>
        </w:tc>
        <w:tc>
          <w:tcPr>
            <w:tcW w:w="0" w:type="dxa"/>
            <w:vAlign w:val="bottom"/>
          </w:tcPr>
          <w:p>
            <w:pPr>
              <w:spacing w:after="0"/>
              <w:rPr>
                <w:sz w:val="1"/>
                <w:szCs w:val="1"/>
                <w:color w:val="auto"/>
              </w:rPr>
            </w:pPr>
          </w:p>
        </w:tc>
      </w:tr>
      <w:tr>
        <w:trPr>
          <w:trHeight w:val="9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 of comprehensive income/loss (–)</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Borders>
              <w:right w:val="single" w:sz="8" w:color="auto"/>
            </w:tcBorders>
            <w:gridSpan w:val="4"/>
          </w:tcPr>
          <w:p>
            <w:pPr>
              <w:jc w:val="center"/>
              <w:ind w:right="692"/>
              <w:spacing w:after="0" w:line="220" w:lineRule="exact"/>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0" w:type="dxa"/>
            <w:vAlign w:val="bottom"/>
          </w:tcPr>
          <w:p>
            <w:pPr>
              <w:spacing w:after="0"/>
              <w:rPr>
                <w:sz w:val="1"/>
                <w:szCs w:val="1"/>
                <w:color w:val="auto"/>
              </w:rPr>
            </w:pPr>
          </w:p>
        </w:tc>
      </w:tr>
      <w:tr>
        <w:trPr>
          <w:trHeight w:val="287"/>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(thousands of €)</w:t>
            </w:r>
          </w:p>
        </w:tc>
        <w:tc>
          <w:tcPr>
            <w:tcW w:w="1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gridSpan w:val="3"/>
          </w:tcPr>
          <w:p>
            <w:pPr>
              <w:jc w:val="center"/>
              <w:ind w:right="1172"/>
              <w:spacing w:after="0"/>
              <w:rPr>
                <w:sz w:val="20"/>
                <w:szCs w:val="20"/>
                <w:color w:val="auto"/>
              </w:rPr>
            </w:pPr>
            <w:r>
              <w:rPr>
                <w:rFonts w:ascii="Times New Roman" w:cs="Times New Roman" w:eastAsia="Times New Roman" w:hAnsi="Times New Roman"/>
                <w:sz w:val="22"/>
                <w:szCs w:val="22"/>
                <w:b w:val="1"/>
                <w:bCs w:val="1"/>
                <w:color w:val="auto"/>
                <w:w w:val="98"/>
              </w:rPr>
              <w:t>March 31</w:t>
            </w:r>
          </w:p>
        </w:tc>
        <w:tc>
          <w:tcPr>
            <w:tcW w:w="0" w:type="dxa"/>
            <w:vAlign w:val="bottom"/>
          </w:tcPr>
          <w:p>
            <w:pPr>
              <w:spacing w:after="0"/>
              <w:rPr>
                <w:sz w:val="1"/>
                <w:szCs w:val="1"/>
                <w:color w:val="auto"/>
              </w:rPr>
            </w:pPr>
          </w:p>
        </w:tc>
      </w:tr>
      <w:tr>
        <w:trPr>
          <w:trHeight w:val="264"/>
        </w:trPr>
        <w:tc>
          <w:tcPr>
            <w:tcW w:w="5920" w:type="dxa"/>
            <w:vAlign w:val="bottom"/>
            <w:tcBorders>
              <w:bottom w:val="single" w:sz="8" w:color="auto"/>
            </w:tcBorders>
            <w:gridSpan w:val="2"/>
            <w:vMerge w:val="continue"/>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2026</w:t>
            </w: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14,492</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(153,403)</w:t>
            </w: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Items that will not be reclassified subsequently to profit or loss:</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420" w:type="dxa"/>
            <w:vAlign w:val="bottom"/>
            <w:tcBorders>
              <w:left w:val="single" w:sz="8" w:color="auto"/>
              <w:right w:val="single" w:sz="8" w:color="auto"/>
            </w:tcBorders>
            <w:gridSpan w:val="4"/>
          </w:tcPr>
          <w:p>
            <w:pPr>
              <w:ind w:left="40"/>
              <w:spacing w:after="0" w:line="223" w:lineRule="exact"/>
              <w:rPr>
                <w:sz w:val="20"/>
                <w:szCs w:val="20"/>
                <w:color w:val="auto"/>
              </w:rPr>
            </w:pPr>
            <w:r>
              <w:rPr>
                <w:rFonts w:ascii="Times New Roman" w:cs="Times New Roman" w:eastAsia="Times New Roman" w:hAnsi="Times New Roman"/>
                <w:sz w:val="22"/>
                <w:szCs w:val="22"/>
                <w:color w:val="auto"/>
                <w:w w:val="98"/>
              </w:rPr>
              <w:t>Fair value adjustment financial assets held at fair value through other comprehensive</w:t>
            </w:r>
          </w:p>
        </w:tc>
        <w:tc>
          <w:tcPr>
            <w:tcW w:w="220" w:type="dxa"/>
            <w:vAlign w:val="bottom"/>
          </w:tcPr>
          <w:p>
            <w:pPr>
              <w:spacing w:after="0"/>
              <w:rPr>
                <w:sz w:val="19"/>
                <w:szCs w:val="19"/>
                <w:color w:val="auto"/>
              </w:rPr>
            </w:pPr>
          </w:p>
        </w:tc>
        <w:tc>
          <w:tcPr>
            <w:tcW w:w="1040" w:type="dxa"/>
            <w:vAlign w:val="bottom"/>
            <w:gridSpan w:val="2"/>
          </w:tcPr>
          <w:p>
            <w:pPr>
              <w:jc w:val="center"/>
              <w:ind w:left="312"/>
              <w:spacing w:after="0" w:line="223" w:lineRule="exact"/>
              <w:rPr>
                <w:sz w:val="20"/>
                <w:szCs w:val="20"/>
                <w:color w:val="auto"/>
              </w:rPr>
            </w:pPr>
            <w:r>
              <w:rPr>
                <w:rFonts w:ascii="Times New Roman" w:cs="Times New Roman" w:eastAsia="Times New Roman" w:hAnsi="Times New Roman"/>
                <w:sz w:val="22"/>
                <w:szCs w:val="22"/>
                <w:color w:val="auto"/>
                <w:w w:val="90"/>
              </w:rPr>
              <w:t>9</w:t>
            </w:r>
          </w:p>
        </w:tc>
        <w:tc>
          <w:tcPr>
            <w:tcW w:w="660" w:type="dxa"/>
            <w:vAlign w:val="bottom"/>
            <w:tcBorders>
              <w:right w:val="single" w:sz="8" w:color="auto"/>
            </w:tcBorders>
            <w:gridSpan w:val="2"/>
          </w:tcPr>
          <w:p>
            <w:pPr>
              <w:spacing w:after="0"/>
              <w:rPr>
                <w:sz w:val="19"/>
                <w:szCs w:val="19"/>
                <w:color w:val="auto"/>
              </w:rPr>
            </w:pPr>
          </w:p>
        </w:tc>
        <w:tc>
          <w:tcPr>
            <w:tcW w:w="19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(2,005)</w:t>
            </w:r>
          </w:p>
        </w:tc>
        <w:tc>
          <w:tcPr>
            <w:tcW w:w="0" w:type="dxa"/>
            <w:vAlign w:val="bottom"/>
          </w:tcPr>
          <w:p>
            <w:pPr>
              <w:spacing w:after="0"/>
              <w:rPr>
                <w:sz w:val="1"/>
                <w:szCs w:val="1"/>
                <w:color w:val="auto"/>
              </w:rPr>
            </w:pPr>
          </w:p>
        </w:tc>
      </w:tr>
      <w:tr>
        <w:trPr>
          <w:trHeight w:val="28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income</w:t>
            </w: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Items that may be reclassified subsequently to profit or loss:</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Translation differences, arisen from translating foreign activities</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6"/>
              </w:rPr>
              <w:t>(262)</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(533)</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Other comprehensive loss, net of income tax</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6"/>
              </w:rPr>
              <w:t>(253)</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(2,538)</w:t>
            </w:r>
          </w:p>
        </w:tc>
        <w:tc>
          <w:tcPr>
            <w:tcW w:w="0" w:type="dxa"/>
            <w:vAlign w:val="bottom"/>
          </w:tcPr>
          <w:p>
            <w:pPr>
              <w:spacing w:after="0"/>
              <w:rPr>
                <w:sz w:val="1"/>
                <w:szCs w:val="1"/>
                <w:color w:val="auto"/>
              </w:rPr>
            </w:pPr>
          </w:p>
        </w:tc>
      </w:tr>
      <w:tr>
        <w:trPr>
          <w:trHeight w:val="264"/>
        </w:trPr>
        <w:tc>
          <w:tcPr>
            <w:tcW w:w="5160" w:type="dxa"/>
            <w:vAlign w:val="bottom"/>
            <w:tcBorders>
              <w:left w:val="single" w:sz="8" w:color="auto"/>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Total comprehensive income/loss (-) attributable to:</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Owners of the parent</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14,239</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(155,941)</w:t>
            </w:r>
          </w:p>
        </w:tc>
        <w:tc>
          <w:tcPr>
            <w:tcW w:w="0" w:type="dxa"/>
            <w:vAlign w:val="bottom"/>
          </w:tcPr>
          <w:p>
            <w:pPr>
              <w:spacing w:after="0"/>
              <w:rPr>
                <w:sz w:val="1"/>
                <w:szCs w:val="1"/>
                <w:color w:val="auto"/>
              </w:rPr>
            </w:pPr>
          </w:p>
        </w:tc>
      </w:tr>
      <w:tr>
        <w:trPr>
          <w:trHeight w:val="219"/>
        </w:trPr>
        <w:tc>
          <w:tcPr>
            <w:tcW w:w="7420" w:type="dxa"/>
            <w:vAlign w:val="bottom"/>
            <w:tcBorders>
              <w:left w:val="single" w:sz="8" w:color="auto"/>
              <w:right w:val="single" w:sz="8" w:color="auto"/>
            </w:tcBorders>
            <w:gridSpan w:val="4"/>
          </w:tcPr>
          <w:p>
            <w:pPr>
              <w:ind w:left="40"/>
              <w:spacing w:after="0" w:line="219" w:lineRule="exact"/>
              <w:rPr>
                <w:sz w:val="20"/>
                <w:szCs w:val="20"/>
                <w:color w:val="auto"/>
              </w:rPr>
            </w:pPr>
            <w:r>
              <w:rPr>
                <w:rFonts w:ascii="Times New Roman" w:cs="Times New Roman" w:eastAsia="Times New Roman" w:hAnsi="Times New Roman"/>
                <w:sz w:val="22"/>
                <w:szCs w:val="22"/>
                <w:b w:val="1"/>
                <w:bCs w:val="1"/>
                <w:color w:val="auto"/>
                <w:w w:val="99"/>
              </w:rPr>
              <w:t>Total comprehensive income/loss (-) attributable to owners of the parent arises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from:</w:t>
            </w: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Continuing operations</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5"/>
              </w:rPr>
              <w:t>13,633</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(157,091)</w:t>
            </w:r>
          </w:p>
        </w:tc>
        <w:tc>
          <w:tcPr>
            <w:tcW w:w="0" w:type="dxa"/>
            <w:vAlign w:val="bottom"/>
          </w:tcPr>
          <w:p>
            <w:pPr>
              <w:spacing w:after="0"/>
              <w:rPr>
                <w:sz w:val="1"/>
                <w:szCs w:val="1"/>
                <w:color w:val="auto"/>
              </w:rPr>
            </w:pPr>
          </w:p>
        </w:tc>
      </w:tr>
      <w:tr>
        <w:trPr>
          <w:trHeight w:val="264"/>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Discontinued operations</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color w:val="auto"/>
              </w:rPr>
              <w:t>606</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1,150</w:t>
            </w:r>
          </w:p>
        </w:tc>
        <w:tc>
          <w:tcPr>
            <w:tcW w:w="0" w:type="dxa"/>
            <w:vAlign w:val="bottom"/>
          </w:tcPr>
          <w:p>
            <w:pPr>
              <w:spacing w:after="0"/>
              <w:rPr>
                <w:sz w:val="1"/>
                <w:szCs w:val="1"/>
                <w:color w:val="auto"/>
              </w:rPr>
            </w:pPr>
          </w:p>
        </w:tc>
      </w:tr>
      <w:tr>
        <w:trPr>
          <w:trHeight w:val="263"/>
        </w:trPr>
        <w:tc>
          <w:tcPr>
            <w:tcW w:w="59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Total comprehensive income/loss (-), net of income tax</w:t>
            </w: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14,239</w:t>
            </w:r>
          </w:p>
        </w:tc>
        <w:tc>
          <w:tcPr>
            <w:tcW w:w="660" w:type="dxa"/>
            <w:vAlign w:val="bottom"/>
            <w:tcBorders>
              <w:bottom w:val="single" w:sz="8" w:color="auto"/>
              <w:right w:val="single" w:sz="8" w:color="auto"/>
            </w:tcBorders>
            <w:gridSpan w:val="2"/>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(155,941)</w:t>
            </w:r>
          </w:p>
        </w:tc>
        <w:tc>
          <w:tcPr>
            <w:tcW w:w="0" w:type="dxa"/>
            <w:vAlign w:val="bottom"/>
          </w:tcPr>
          <w:p>
            <w:pPr>
              <w:spacing w:after="0"/>
              <w:rPr>
                <w:sz w:val="1"/>
                <w:szCs w:val="1"/>
                <w:color w:val="auto"/>
              </w:rPr>
            </w:pPr>
          </w:p>
        </w:tc>
      </w:tr>
      <w:tr>
        <w:trPr>
          <w:trHeight w:val="1167"/>
        </w:trPr>
        <w:tc>
          <w:tcPr>
            <w:tcW w:w="5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position (unaudited)</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(thousands of €)</w:t>
            </w:r>
          </w:p>
        </w:tc>
        <w:tc>
          <w:tcPr>
            <w:tcW w:w="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vMerge w:val="continue"/>
          </w:tcPr>
          <w:p>
            <w:pPr>
              <w:spacing w:after="0"/>
              <w:rPr>
                <w:sz w:val="22"/>
                <w:szCs w:val="22"/>
                <w:color w:val="auto"/>
              </w:rPr>
            </w:pPr>
          </w:p>
        </w:tc>
        <w:tc>
          <w:tcPr>
            <w:tcW w:w="7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March 31, 2026</w:t>
            </w:r>
          </w:p>
        </w:tc>
        <w:tc>
          <w:tcPr>
            <w:tcW w:w="560" w:type="dxa"/>
            <w:vAlign w:val="bottom"/>
            <w:tcBorders>
              <w:bottom w:val="single" w:sz="8" w:color="auto"/>
              <w:right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3"/>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7"/>
              </w:rPr>
              <w:t>December 31, 2025</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76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Intangible assets other than goodwill</w:t>
            </w:r>
          </w:p>
        </w:tc>
        <w:tc>
          <w:tcPr>
            <w:tcW w:w="76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746</w:t>
            </w: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3"/>
          </w:tcPr>
          <w:p>
            <w:pPr>
              <w:jc w:val="right"/>
              <w:ind w:right="1272"/>
              <w:spacing w:after="0"/>
              <w:rPr>
                <w:sz w:val="20"/>
                <w:szCs w:val="20"/>
                <w:color w:val="auto"/>
              </w:rPr>
            </w:pPr>
            <w:r>
              <w:rPr>
                <w:rFonts w:ascii="Times New Roman" w:cs="Times New Roman" w:eastAsia="Times New Roman" w:hAnsi="Times New Roman"/>
                <w:sz w:val="22"/>
                <w:szCs w:val="22"/>
                <w:color w:val="auto"/>
              </w:rPr>
              <w:t>848</w:t>
            </w:r>
          </w:p>
        </w:tc>
        <w:tc>
          <w:tcPr>
            <w:tcW w:w="0" w:type="dxa"/>
            <w:vAlign w:val="bottom"/>
          </w:tcPr>
          <w:p>
            <w:pPr>
              <w:spacing w:after="0"/>
              <w:rPr>
                <w:sz w:val="1"/>
                <w:szCs w:val="1"/>
                <w:color w:val="auto"/>
              </w:rPr>
            </w:pPr>
          </w:p>
        </w:tc>
      </w:tr>
      <w:tr>
        <w:trPr>
          <w:trHeight w:val="84"/>
        </w:trPr>
        <w:tc>
          <w:tcPr>
            <w:tcW w:w="5160" w:type="dxa"/>
            <w:vAlign w:val="bottom"/>
            <w:tcBorders>
              <w:left w:val="single" w:sz="8" w:color="auto"/>
            </w:tcBorders>
          </w:tcPr>
          <w:p>
            <w:pPr>
              <w:spacing w:after="0"/>
              <w:rPr>
                <w:sz w:val="7"/>
                <w:szCs w:val="7"/>
                <w:color w:val="auto"/>
              </w:rPr>
            </w:pPr>
          </w:p>
        </w:tc>
        <w:tc>
          <w:tcPr>
            <w:tcW w:w="76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108" w:right="319" w:bottom="0" w:gutter="0" w:footer="0" w:header="0"/>
        </w:sectPr>
      </w:pPr>
    </w:p>
    <w:bookmarkStart w:id="9" w:name="page10"/>
    <w:bookmarkEnd w:id="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Property, plant and equipment</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76,950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80,663</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Deferred tax assets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163</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195</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Non-current R&amp;D incentives receivables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114,575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126,662</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Non-current contingent consideration receivable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46,796</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47,750</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Equity investments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47,933</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46,809</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Other non-current assets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2,954</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2,959</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Convertible loan</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21,575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21,175</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Non-current assets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311,692</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327,061</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Inventories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17,693</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22,493</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Trade and other receivables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21,738</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20,706</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Current R&amp;D incentives receivables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32,296</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31,208</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Current financial investments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2,915,435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2,910,180</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66,805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87,868</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Other current assets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4,075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7,002</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Current assets from continuing operations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3,058,042</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3,079,457</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Assets in disposal group classified as held for sale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2,695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3,060,737</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3,079,457</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3,372,429</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3,406,518</w:t>
            </w:r>
          </w:p>
        </w:tc>
      </w:tr>
      <w:tr>
        <w:trPr>
          <w:trHeight w:val="263"/>
        </w:trPr>
        <w:tc>
          <w:tcPr>
            <w:tcW w:w="5180" w:type="dxa"/>
            <w:vAlign w:val="bottom"/>
            <w:tcBorders>
              <w:left w:val="single" w:sz="8" w:color="auto"/>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spacing w:after="0"/>
              <w:rPr>
                <w:sz w:val="22"/>
                <w:szCs w:val="22"/>
                <w:color w:val="auto"/>
              </w:rPr>
            </w:pP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Equity and liabilities</w:t>
            </w:r>
          </w:p>
        </w:tc>
        <w:tc>
          <w:tcPr>
            <w:tcW w:w="3020" w:type="dxa"/>
            <w:vAlign w:val="bottom"/>
            <w:tcBorders>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spacing w:after="0"/>
              <w:rPr>
                <w:sz w:val="22"/>
                <w:szCs w:val="22"/>
                <w:color w:val="auto"/>
              </w:rPr>
            </w:pP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Share capital</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293,937</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293,937</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Share premium account</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2,736,994</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2,736,994</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Other reserves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(8,628)</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(8,637)</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Translation differences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2,735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2,997</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Accumulated result</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228,331</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210,577</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equity</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3,253,369</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3,235,868</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Non-current lease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4,851</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5,186</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Other non-current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13,785</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12,601</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Non-current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18,636</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17,787</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Current lease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1,584</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1,729</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Trade and other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95,766</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104,647</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Provisions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2,130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45,499</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Current tax payable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912</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956</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Current deferred income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32</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32</w:t>
            </w:r>
          </w:p>
        </w:tc>
      </w:tr>
      <w:tr>
        <w:trPr>
          <w:trHeight w:val="264"/>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100,424</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152,863</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119,060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170,650</w:t>
            </w:r>
          </w:p>
        </w:tc>
      </w:tr>
      <w:tr>
        <w:trPr>
          <w:trHeight w:val="26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equity and liabilities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3,372,429</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3,406,518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Consolidated cash flow statements (unaudited)</w:t>
            </w:r>
          </w:p>
        </w:tc>
        <w:tc>
          <w:tcPr>
            <w:tcW w:w="1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20" w:type="dxa"/>
            <w:vAlign w:val="bottom"/>
            <w:tcBorders>
              <w:right w:val="single" w:sz="8" w:color="auto"/>
            </w:tcBorders>
          </w:tcPr>
          <w:p>
            <w:pPr>
              <w:spacing w:after="0"/>
              <w:rPr>
                <w:sz w:val="19"/>
                <w:szCs w:val="19"/>
                <w:color w:val="auto"/>
              </w:rPr>
            </w:pPr>
          </w:p>
        </w:tc>
        <w:tc>
          <w:tcPr>
            <w:tcW w:w="3840" w:type="dxa"/>
            <w:vAlign w:val="bottom"/>
            <w:tcBorders>
              <w:right w:val="single" w:sz="8" w:color="auto"/>
            </w:tcBorders>
            <w:gridSpan w:val="3"/>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0" w:type="dxa"/>
            <w:vAlign w:val="bottom"/>
          </w:tcPr>
          <w:p>
            <w:pPr>
              <w:spacing w:after="0"/>
              <w:rPr>
                <w:sz w:val="1"/>
                <w:szCs w:val="1"/>
                <w:color w:val="auto"/>
              </w:rPr>
            </w:pPr>
          </w:p>
        </w:tc>
      </w:tr>
      <w:tr>
        <w:trPr>
          <w:trHeight w:val="287"/>
        </w:trPr>
        <w:tc>
          <w:tcPr>
            <w:tcW w:w="74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(thousands of €)</w:t>
            </w:r>
          </w:p>
        </w:tc>
        <w:tc>
          <w:tcPr>
            <w:tcW w:w="140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gridSpan w:val="2"/>
          </w:tcPr>
          <w:p>
            <w:pPr>
              <w:jc w:val="center"/>
              <w:ind w:right="1312"/>
              <w:spacing w:after="0"/>
              <w:rPr>
                <w:sz w:val="20"/>
                <w:szCs w:val="20"/>
                <w:color w:val="auto"/>
              </w:rPr>
            </w:pPr>
            <w:r>
              <w:rPr>
                <w:rFonts w:ascii="Times New Roman" w:cs="Times New Roman" w:eastAsia="Times New Roman" w:hAnsi="Times New Roman"/>
                <w:sz w:val="22"/>
                <w:szCs w:val="22"/>
                <w:b w:val="1"/>
                <w:bCs w:val="1"/>
                <w:color w:val="auto"/>
                <w:w w:val="98"/>
              </w:rPr>
              <w:t>March 31</w:t>
            </w:r>
          </w:p>
        </w:tc>
        <w:tc>
          <w:tcPr>
            <w:tcW w:w="0" w:type="dxa"/>
            <w:vAlign w:val="bottom"/>
          </w:tcPr>
          <w:p>
            <w:pPr>
              <w:spacing w:after="0"/>
              <w:rPr>
                <w:sz w:val="1"/>
                <w:szCs w:val="1"/>
                <w:color w:val="auto"/>
              </w:rPr>
            </w:pPr>
          </w:p>
        </w:tc>
      </w:tr>
      <w:tr>
        <w:trPr>
          <w:trHeight w:val="264"/>
        </w:trPr>
        <w:tc>
          <w:tcPr>
            <w:tcW w:w="7420" w:type="dxa"/>
            <w:vAlign w:val="bottom"/>
            <w:tcBorders>
              <w:bottom w:val="single" w:sz="8" w:color="auto"/>
              <w:right w:val="single" w:sz="8" w:color="auto"/>
            </w:tcBorders>
            <w:vMerge w:val="continue"/>
          </w:tcPr>
          <w:p>
            <w:pPr>
              <w:spacing w:after="0"/>
              <w:rPr>
                <w:sz w:val="22"/>
                <w:szCs w:val="22"/>
                <w:color w:val="auto"/>
              </w:rPr>
            </w:pP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5"/>
              </w:rPr>
              <w:t>2026</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profit/loss (-) of the period</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5"/>
              </w:rPr>
              <w:t>14,492</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(153,403)</w:t>
            </w:r>
          </w:p>
        </w:tc>
        <w:tc>
          <w:tcPr>
            <w:tcW w:w="0" w:type="dxa"/>
            <w:vAlign w:val="bottom"/>
          </w:tcPr>
          <w:p>
            <w:pPr>
              <w:spacing w:after="0"/>
              <w:rPr>
                <w:sz w:val="1"/>
                <w:szCs w:val="1"/>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Decrease in provisions</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98"/>
              </w:rPr>
              <w:t>(43,371)</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81"/>
              </w:rPr>
              <w:t>-</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Adjustment for non-cash transactions</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98"/>
              </w:rPr>
              <w:t>(57,849)</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81,056</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Adjustment for items to disclose separately under operating cash flow</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98"/>
              </w:rPr>
              <w:t>(12,268)</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(13,796)</w:t>
            </w:r>
          </w:p>
        </w:tc>
        <w:tc>
          <w:tcPr>
            <w:tcW w:w="0" w:type="dxa"/>
            <w:vAlign w:val="bottom"/>
          </w:tcPr>
          <w:p>
            <w:pPr>
              <w:spacing w:after="0"/>
              <w:rPr>
                <w:sz w:val="1"/>
                <w:szCs w:val="1"/>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Adjustment for items to disclose under investing and financing cash flows</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96"/>
              </w:rPr>
              <w:t>(3,546)</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(9,105)</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Change in working capital other than deferred income</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rPr>
              <w:t>7,930</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111,624</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Decrease in deferred income</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81"/>
              </w:rPr>
              <w:t>-</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(59,364)</w:t>
            </w:r>
          </w:p>
        </w:tc>
        <w:tc>
          <w:tcPr>
            <w:tcW w:w="0" w:type="dxa"/>
            <w:vAlign w:val="bottom"/>
          </w:tcPr>
          <w:p>
            <w:pPr>
              <w:spacing w:after="0"/>
              <w:rPr>
                <w:sz w:val="1"/>
                <w:szCs w:val="1"/>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Cash used in operations</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8"/>
              </w:rPr>
              <w:t>(94,612)</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(42,988)</w:t>
            </w:r>
          </w:p>
        </w:tc>
        <w:tc>
          <w:tcPr>
            <w:tcW w:w="0" w:type="dxa"/>
            <w:vAlign w:val="bottom"/>
          </w:tcPr>
          <w:p>
            <w:pPr>
              <w:spacing w:after="0"/>
              <w:rPr>
                <w:sz w:val="1"/>
                <w:szCs w:val="1"/>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Interest paid</w:t>
            </w:r>
          </w:p>
        </w:tc>
        <w:tc>
          <w:tcPr>
            <w:tcW w:w="14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8"/>
              </w:rPr>
              <w:t>(64)</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(208)</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Interest received</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95"/>
              </w:rPr>
              <w:t>12,012</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4,813</w:t>
            </w:r>
          </w:p>
        </w:tc>
        <w:tc>
          <w:tcPr>
            <w:tcW w:w="0" w:type="dxa"/>
            <w:vAlign w:val="bottom"/>
          </w:tcPr>
          <w:p>
            <w:pPr>
              <w:spacing w:after="0"/>
              <w:rPr>
                <w:sz w:val="1"/>
                <w:szCs w:val="1"/>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Corporate taxes paid</w:t>
            </w:r>
          </w:p>
        </w:tc>
        <w:tc>
          <w:tcPr>
            <w:tcW w:w="14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8"/>
              </w:rPr>
              <w:t>(86)</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(224)</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cash flows used in operating activities</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8"/>
              </w:rPr>
              <w:t>(82,750)</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(38,607)</w:t>
            </w:r>
          </w:p>
        </w:tc>
        <w:tc>
          <w:tcPr>
            <w:tcW w:w="0" w:type="dxa"/>
            <w:vAlign w:val="bottom"/>
          </w:tcPr>
          <w:p>
            <w:pPr>
              <w:spacing w:after="0"/>
              <w:rPr>
                <w:sz w:val="1"/>
                <w:szCs w:val="1"/>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Purchase of property, plant and equipment</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96"/>
              </w:rPr>
              <w:t>(123)</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(5,095)</w:t>
            </w:r>
          </w:p>
        </w:tc>
        <w:tc>
          <w:tcPr>
            <w:tcW w:w="0" w:type="dxa"/>
            <w:vAlign w:val="bottom"/>
          </w:tcPr>
          <w:p>
            <w:pPr>
              <w:spacing w:after="0"/>
              <w:rPr>
                <w:sz w:val="1"/>
                <w:szCs w:val="1"/>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Purchase of intangible fixed assets</w:t>
            </w:r>
          </w:p>
        </w:tc>
        <w:tc>
          <w:tcPr>
            <w:tcW w:w="14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color w:val="auto"/>
                <w:w w:val="81"/>
              </w:rPr>
              <w:t>-</w:t>
            </w:r>
          </w:p>
        </w:tc>
        <w:tc>
          <w:tcPr>
            <w:tcW w:w="5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(155)</w:t>
            </w:r>
          </w:p>
        </w:tc>
        <w:tc>
          <w:tcPr>
            <w:tcW w:w="0" w:type="dxa"/>
            <w:vAlign w:val="bottom"/>
          </w:tcPr>
          <w:p>
            <w:pPr>
              <w:spacing w:after="0"/>
              <w:rPr>
                <w:sz w:val="1"/>
                <w:szCs w:val="1"/>
                <w:color w:val="auto"/>
              </w:rPr>
            </w:pPr>
          </w:p>
        </w:tc>
      </w:tr>
      <w:tr>
        <w:trPr>
          <w:trHeight w:val="97"/>
        </w:trPr>
        <w:tc>
          <w:tcPr>
            <w:tcW w:w="7420" w:type="dxa"/>
            <w:vAlign w:val="bottom"/>
            <w:tcBorders>
              <w:left w:val="single" w:sz="8" w:color="auto"/>
              <w:right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140" w:right="319" w:bottom="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Proceeds from disposal of property, plant and equipment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1,317</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81"/>
              </w:rPr>
              <w:t>-</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Purchase of financial investments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(50,145)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(340,000)</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Investment income received related to financial investments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4,136</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7,768</w:t>
            </w: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Sale of financial investments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105,000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391,802</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Convertible loan issued to third party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81"/>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(1,500)</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Cash in from the disposal of subsidiaries, net of cash disposed of</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2,343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31,925</w:t>
            </w:r>
          </w:p>
        </w:tc>
      </w:tr>
      <w:tr>
        <w:trPr>
          <w:trHeight w:val="223"/>
        </w:trPr>
        <w:tc>
          <w:tcPr>
            <w:tcW w:w="742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Acquisition of equity investments held at fair value through other comprehensive</w:t>
            </w:r>
          </w:p>
        </w:tc>
        <w:tc>
          <w:tcPr>
            <w:tcW w:w="19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(1,031)</w:t>
            </w:r>
          </w:p>
        </w:tc>
        <w:tc>
          <w:tcPr>
            <w:tcW w:w="19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81"/>
              </w:rPr>
              <w:t>-</w:t>
            </w:r>
          </w:p>
        </w:tc>
      </w:tr>
      <w:tr>
        <w:trPr>
          <w:trHeight w:val="28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income</w:t>
            </w:r>
          </w:p>
        </w:tc>
        <w:tc>
          <w:tcPr>
            <w:tcW w:w="192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cash flows generated from investing activities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61,497</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84,745</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Payment of lease liabilities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(510)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(1,011)</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cash flows used in financing activities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(510)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(1,011)</w:t>
            </w:r>
          </w:p>
        </w:tc>
      </w:tr>
      <w:tr>
        <w:trPr>
          <w:trHeight w:val="263"/>
        </w:trPr>
        <w:tc>
          <w:tcPr>
            <w:tcW w:w="7420" w:type="dxa"/>
            <w:vAlign w:val="bottom"/>
            <w:tcBorders>
              <w:left w:val="single" w:sz="8" w:color="auto"/>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r>
      <w:tr>
        <w:trPr>
          <w:trHeight w:val="264"/>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Increase/decrease (-) in cash and cash equivalents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(21,763)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45,127</w:t>
            </w:r>
          </w:p>
        </w:tc>
      </w:tr>
      <w:tr>
        <w:trPr>
          <w:trHeight w:val="263"/>
        </w:trPr>
        <w:tc>
          <w:tcPr>
            <w:tcW w:w="7420" w:type="dxa"/>
            <w:vAlign w:val="bottom"/>
            <w:tcBorders>
              <w:left w:val="single" w:sz="8" w:color="auto"/>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Cash and cash equivalents at beginning of the period</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87,868</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64,239</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Increase/decrease (-) in cash and cash equivalents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(21,763)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45,127</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Effect of exchange rate differences on cash and cash equivalents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700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(1,299)</w:t>
            </w:r>
          </w:p>
        </w:tc>
      </w:tr>
      <w:tr>
        <w:trPr>
          <w:trHeight w:val="263"/>
        </w:trPr>
        <w:tc>
          <w:tcPr>
            <w:tcW w:w="7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Cash and cash equivalents at end of the period</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66,805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108,067</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equity (unaudited)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(thousands of €)</w:t>
            </w:r>
          </w:p>
        </w:tc>
        <w:tc>
          <w:tcPr>
            <w:tcW w:w="146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Share capital</w:t>
            </w:r>
          </w:p>
        </w:tc>
        <w:tc>
          <w:tcPr>
            <w:tcW w:w="148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Share</w:t>
            </w:r>
          </w:p>
        </w:tc>
        <w:tc>
          <w:tcPr>
            <w:tcW w:w="150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Translation</w:t>
            </w:r>
          </w:p>
        </w:tc>
        <w:tc>
          <w:tcPr>
            <w:tcW w:w="1480" w:type="dxa"/>
            <w:vAlign w:val="bottom"/>
            <w:tcBorders>
              <w:top w:val="single" w:sz="8" w:color="auto"/>
              <w:right w:val="single" w:sz="8" w:color="auto"/>
            </w:tcBorders>
          </w:tcPr>
          <w:p>
            <w:pPr>
              <w:ind w:left="60"/>
              <w:spacing w:after="0" w:line="239" w:lineRule="exact"/>
              <w:rPr>
                <w:sz w:val="20"/>
                <w:szCs w:val="20"/>
                <w:color w:val="auto"/>
              </w:rPr>
            </w:pPr>
            <w:r>
              <w:rPr>
                <w:rFonts w:ascii="Times New Roman" w:cs="Times New Roman" w:eastAsia="Times New Roman" w:hAnsi="Times New Roman"/>
                <w:sz w:val="22"/>
                <w:szCs w:val="22"/>
                <w:b w:val="1"/>
                <w:bCs w:val="1"/>
                <w:color w:val="auto"/>
                <w:w w:val="99"/>
              </w:rPr>
              <w:t>Other reserves</w:t>
            </w:r>
          </w:p>
        </w:tc>
        <w:tc>
          <w:tcPr>
            <w:tcW w:w="168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Accumulated</w:t>
            </w:r>
          </w:p>
        </w:tc>
        <w:tc>
          <w:tcPr>
            <w:tcW w:w="1460" w:type="dxa"/>
            <w:vAlign w:val="bottom"/>
            <w:tcBorders>
              <w:top w:val="single" w:sz="8" w:color="auto"/>
              <w:right w:val="single" w:sz="8" w:color="auto"/>
            </w:tcBorders>
          </w:tcPr>
          <w:p>
            <w:pPr>
              <w:ind w:left="480"/>
              <w:spacing w:after="0" w:line="239" w:lineRule="exact"/>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Borders>
              <w:right w:val="single" w:sz="8" w:color="auto"/>
            </w:tcBorders>
            <w:vMerge w:val="continue"/>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premium</w:t>
            </w:r>
          </w:p>
        </w:tc>
        <w:tc>
          <w:tcPr>
            <w:tcW w:w="15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differences</w:t>
            </w:r>
          </w:p>
        </w:tc>
        <w:tc>
          <w:tcPr>
            <w:tcW w:w="14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result</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1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account</w:t>
            </w: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On January 1,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293,937</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2,736,994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3,472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(3,158)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(134,306)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2,896,939</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Net loss</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(153,403)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(153,403)</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Other comprehensive</w:t>
            </w: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(533)</w:t>
            </w:r>
          </w:p>
        </w:tc>
        <w:tc>
          <w:tcPr>
            <w:tcW w:w="14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(2,005)</w:t>
            </w:r>
          </w:p>
        </w:tc>
        <w:tc>
          <w:tcPr>
            <w:tcW w:w="16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9"/>
              </w:rPr>
              <w:t>(2,538)</w:t>
            </w:r>
          </w:p>
        </w:tc>
        <w:tc>
          <w:tcPr>
            <w:tcW w:w="0" w:type="dxa"/>
            <w:vAlign w:val="bottom"/>
          </w:tcPr>
          <w:p>
            <w:pPr>
              <w:spacing w:after="0"/>
              <w:rPr>
                <w:sz w:val="1"/>
                <w:szCs w:val="1"/>
                <w:color w:val="auto"/>
              </w:rPr>
            </w:pPr>
          </w:p>
        </w:tc>
      </w:tr>
      <w:tr>
        <w:trPr>
          <w:trHeight w:val="28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loss</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80" w:type="dxa"/>
            <w:vAlign w:val="bottom"/>
            <w:tcBorders>
              <w:left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2"/>
                <w:szCs w:val="22"/>
                <w:b w:val="1"/>
                <w:bCs w:val="1"/>
                <w:color w:val="auto"/>
              </w:rPr>
              <w:t>Total comprehensive</w:t>
            </w: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rPr>
              <w:t>(533)</w:t>
            </w:r>
          </w:p>
        </w:tc>
        <w:tc>
          <w:tcPr>
            <w:tcW w:w="148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6"/>
              </w:rPr>
              <w:t>(2,005)</w:t>
            </w:r>
          </w:p>
        </w:tc>
        <w:tc>
          <w:tcPr>
            <w:tcW w:w="168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7"/>
              </w:rPr>
              <w:t>(153,403)</w:t>
            </w:r>
          </w:p>
        </w:tc>
        <w:tc>
          <w:tcPr>
            <w:tcW w:w="146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7"/>
              </w:rPr>
              <w:t>(155,941)</w:t>
            </w:r>
          </w:p>
        </w:tc>
        <w:tc>
          <w:tcPr>
            <w:tcW w:w="0" w:type="dxa"/>
            <w:vAlign w:val="bottom"/>
          </w:tcPr>
          <w:p>
            <w:pPr>
              <w:spacing w:after="0"/>
              <w:rPr>
                <w:sz w:val="1"/>
                <w:szCs w:val="1"/>
                <w:color w:val="auto"/>
              </w:rPr>
            </w:pPr>
          </w:p>
        </w:tc>
      </w:tr>
      <w:tr>
        <w:trPr>
          <w:trHeight w:val="28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loss</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Share-based</w:t>
            </w: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6,896</w:t>
            </w:r>
          </w:p>
        </w:tc>
        <w:tc>
          <w:tcPr>
            <w:tcW w:w="14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6,896</w:t>
            </w:r>
          </w:p>
        </w:tc>
        <w:tc>
          <w:tcPr>
            <w:tcW w:w="0" w:type="dxa"/>
            <w:vAlign w:val="bottom"/>
          </w:tcPr>
          <w:p>
            <w:pPr>
              <w:spacing w:after="0"/>
              <w:rPr>
                <w:sz w:val="1"/>
                <w:szCs w:val="1"/>
                <w:color w:val="auto"/>
              </w:rPr>
            </w:pPr>
          </w:p>
        </w:tc>
      </w:tr>
      <w:tr>
        <w:trPr>
          <w:trHeight w:val="28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On March 31,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293,937</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2,736,994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2,939</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(5,163)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(280,813)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2,747,894</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On January 1, 2026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293,937</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2,736,994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2,997</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(8,637)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210,577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3,235,868</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Net profit</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14,492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14,492</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Other comprehensive</w:t>
            </w: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(262)</w:t>
            </w:r>
          </w:p>
        </w:tc>
        <w:tc>
          <w:tcPr>
            <w:tcW w:w="14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0"/>
              </w:rPr>
              <w:t>9</w:t>
            </w:r>
          </w:p>
        </w:tc>
        <w:tc>
          <w:tcPr>
            <w:tcW w:w="16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(253)</w:t>
            </w:r>
          </w:p>
        </w:tc>
        <w:tc>
          <w:tcPr>
            <w:tcW w:w="0" w:type="dxa"/>
            <w:vAlign w:val="bottom"/>
          </w:tcPr>
          <w:p>
            <w:pPr>
              <w:spacing w:after="0"/>
              <w:rPr>
                <w:sz w:val="1"/>
                <w:szCs w:val="1"/>
                <w:color w:val="auto"/>
              </w:rPr>
            </w:pPr>
          </w:p>
        </w:tc>
      </w:tr>
      <w:tr>
        <w:trPr>
          <w:trHeight w:val="28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income/loss (-)</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80" w:type="dxa"/>
            <w:vAlign w:val="bottom"/>
            <w:tcBorders>
              <w:left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2"/>
                <w:szCs w:val="22"/>
                <w:b w:val="1"/>
                <w:bCs w:val="1"/>
                <w:color w:val="auto"/>
              </w:rPr>
              <w:t>Total comprehensive</w:t>
            </w: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rPr>
              <w:t>(262)</w:t>
            </w:r>
          </w:p>
        </w:tc>
        <w:tc>
          <w:tcPr>
            <w:tcW w:w="148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0"/>
              </w:rPr>
              <w:t>9</w:t>
            </w:r>
          </w:p>
        </w:tc>
        <w:tc>
          <w:tcPr>
            <w:tcW w:w="168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9"/>
              </w:rPr>
              <w:t>14,492</w:t>
            </w:r>
          </w:p>
        </w:tc>
        <w:tc>
          <w:tcPr>
            <w:tcW w:w="146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9"/>
              </w:rPr>
              <w:t>14,239</w:t>
            </w:r>
          </w:p>
        </w:tc>
        <w:tc>
          <w:tcPr>
            <w:tcW w:w="0" w:type="dxa"/>
            <w:vAlign w:val="bottom"/>
          </w:tcPr>
          <w:p>
            <w:pPr>
              <w:spacing w:after="0"/>
              <w:rPr>
                <w:sz w:val="1"/>
                <w:szCs w:val="1"/>
                <w:color w:val="auto"/>
              </w:rPr>
            </w:pPr>
          </w:p>
        </w:tc>
      </w:tr>
      <w:tr>
        <w:trPr>
          <w:trHeight w:val="28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income/loss (-)</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Share-based</w:t>
            </w: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3,262</w:t>
            </w:r>
          </w:p>
        </w:tc>
        <w:tc>
          <w:tcPr>
            <w:tcW w:w="14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3,262</w:t>
            </w:r>
          </w:p>
        </w:tc>
        <w:tc>
          <w:tcPr>
            <w:tcW w:w="0" w:type="dxa"/>
            <w:vAlign w:val="bottom"/>
          </w:tcPr>
          <w:p>
            <w:pPr>
              <w:spacing w:after="0"/>
              <w:rPr>
                <w:sz w:val="1"/>
                <w:szCs w:val="1"/>
                <w:color w:val="auto"/>
              </w:rPr>
            </w:pPr>
          </w:p>
        </w:tc>
      </w:tr>
      <w:tr>
        <w:trPr>
          <w:trHeight w:val="28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On March 31, 2026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293,937</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2,736,994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2,735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(8,628)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228,331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3,253,369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i"/>
      <w:numFmt w:val="bullet"/>
      <w:start w:val="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2026-05-06T16:23:06Z</dcterms:created>
  <dcterms:modified xsi:type="dcterms:W3CDTF">2026-05-06T16:23:06Z</dcterms:modified>
</cp:coreProperties>
</file>