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001-37384</w:t>
      </w:r>
    </w:p>
    <w:p>
      <w:pPr>
        <w:spacing w:after="0" w:line="20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Lakefront Biotherapeutics</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Schaliënhoevedreef 20T, 2800 Mechelen, Belgium</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June 29, 2026, the Registrant issued a press release, a copy of which is attached hereto as Exhibit 99.1 and is incorporated herein by reference.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Exhibit 99.1. Press release dated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60"/>
          </w:cols>
          <w:pgMar w:left="320" w:top="111" w:right="7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Lakefront Biotherapeutics</w:t>
            </w:r>
          </w:p>
        </w:tc>
      </w:tr>
      <w:tr>
        <w:trPr>
          <w:trHeight w:val="237"/>
        </w:trPr>
        <w:tc>
          <w:tcPr>
            <w:tcW w:w="7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5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Ying Deng</w:t>
            </w:r>
          </w:p>
        </w:tc>
        <w:tc>
          <w:tcPr>
            <w:tcW w:w="520" w:type="dxa"/>
            <w:vAlign w:val="bottom"/>
          </w:tcPr>
          <w:p>
            <w:pPr>
              <w:spacing w:after="0"/>
              <w:rPr>
                <w:sz w:val="24"/>
                <w:szCs w:val="24"/>
                <w:color w:val="auto"/>
              </w:rPr>
            </w:pPr>
          </w:p>
        </w:tc>
      </w:tr>
      <w:tr>
        <w:trPr>
          <w:trHeight w:val="218"/>
        </w:trPr>
        <w:tc>
          <w:tcPr>
            <w:tcW w:w="7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Ying Deng</w:t>
            </w:r>
          </w:p>
        </w:tc>
      </w:tr>
      <w:tr>
        <w:trPr>
          <w:trHeight w:val="234"/>
        </w:trPr>
        <w:tc>
          <w:tcPr>
            <w:tcW w:w="7400" w:type="dxa"/>
            <w:vAlign w:val="bottom"/>
          </w:tcPr>
          <w:p>
            <w:pPr>
              <w:spacing w:after="0"/>
              <w:rPr>
                <w:sz w:val="20"/>
                <w:szCs w:val="20"/>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Authorized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Lakefront Receives Transparency Notification from Madison Avenue Partners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Mechelen, Belgium; June 29, 2026, 22.01 CET; regulated information – Lakefront Biotherapeutics NV (Euronext &amp; NASDAQ: LKFT) received a transparency notification from Madison Avenue Partners.</w:t>
      </w:r>
    </w:p>
    <w:p>
      <w:pPr>
        <w:spacing w:after="0" w:line="16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Pursuant to Belgian transparency legislation</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Lakefront received a transparency notification from Madison Avenue Partners on June 24, 2026. The notification indicates that Madison Avenue Partners, LP, jointly with Madison Avenue International, LP, EMAI Management, LLC, and Eli Samaha, crossed above the threshold of 5% of Lakefront’ voting rights on an aggregated basis on June 15, 2026, following the acquisition of Lakefront’ voting rights.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June 24, 2026, Madison Avenue Partners (taking into account the holding of its affiliates) owned 3,498,892 voting rights, representing 5.31% of Lakefront’ currently outstanding 65,897,071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transaction:</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1760" w:type="dxa"/>
            <w:vAlign w:val="bottom"/>
            <w:tcBorders>
              <w:top w:val="single" w:sz="8" w:color="auto"/>
              <w:left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8"/>
              </w:rPr>
              <w:t>Date on which the</w:t>
            </w:r>
          </w:p>
        </w:tc>
        <w:tc>
          <w:tcPr>
            <w:tcW w:w="1720" w:type="dxa"/>
            <w:vAlign w:val="bottom"/>
            <w:tcBorders>
              <w:top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740" w:type="dxa"/>
            <w:vAlign w:val="bottom"/>
            <w:tcBorders>
              <w:top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7"/>
              </w:rPr>
              <w:t>Direct voting</w:t>
            </w:r>
          </w:p>
        </w:tc>
        <w:tc>
          <w:tcPr>
            <w:tcW w:w="1720" w:type="dxa"/>
            <w:vAlign w:val="bottom"/>
            <w:tcBorders>
              <w:top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7"/>
              </w:rPr>
              <w:t>Equivalent</w:t>
            </w:r>
          </w:p>
        </w:tc>
        <w:tc>
          <w:tcPr>
            <w:tcW w:w="1720" w:type="dxa"/>
            <w:vAlign w:val="bottom"/>
            <w:tcBorders>
              <w:top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7"/>
              </w:rPr>
              <w:t>Total (%)</w:t>
            </w:r>
          </w:p>
        </w:tc>
      </w:tr>
      <w:tr>
        <w:trPr>
          <w:trHeight w:val="243"/>
        </w:trPr>
        <w:tc>
          <w:tcPr>
            <w:tcW w:w="17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threshold was</w:t>
            </w:r>
          </w:p>
        </w:tc>
        <w:tc>
          <w:tcPr>
            <w:tcW w:w="17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notification</w:t>
            </w:r>
          </w:p>
        </w:tc>
        <w:tc>
          <w:tcPr>
            <w:tcW w:w="17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rights after the</w:t>
            </w:r>
          </w:p>
        </w:tc>
        <w:tc>
          <w:tcPr>
            <w:tcW w:w="17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financial</w:t>
            </w:r>
          </w:p>
        </w:tc>
        <w:tc>
          <w:tcPr>
            <w:tcW w:w="17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voting rights</w:t>
            </w:r>
          </w:p>
        </w:tc>
      </w:tr>
      <w:tr>
        <w:trPr>
          <w:trHeight w:val="243"/>
        </w:trPr>
        <w:tc>
          <w:tcPr>
            <w:tcW w:w="17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crossed</w:t>
            </w:r>
          </w:p>
        </w:tc>
        <w:tc>
          <w:tcPr>
            <w:tcW w:w="172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transaction</w:t>
            </w:r>
          </w:p>
        </w:tc>
        <w:tc>
          <w:tcPr>
            <w:tcW w:w="17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instruments after</w:t>
            </w:r>
          </w:p>
        </w:tc>
        <w:tc>
          <w:tcPr>
            <w:tcW w:w="1720" w:type="dxa"/>
            <w:vAlign w:val="bottom"/>
            <w:tcBorders>
              <w:right w:val="single" w:sz="8" w:color="auto"/>
            </w:tcBorders>
          </w:tcPr>
          <w:p>
            <w:pPr>
              <w:spacing w:after="0"/>
              <w:rPr>
                <w:sz w:val="21"/>
                <w:szCs w:val="21"/>
                <w:color w:val="auto"/>
              </w:rPr>
            </w:pPr>
          </w:p>
        </w:tc>
      </w:tr>
      <w:tr>
        <w:trPr>
          <w:trHeight w:val="287"/>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the transaction</w:t>
            </w:r>
          </w:p>
        </w:tc>
        <w:tc>
          <w:tcPr>
            <w:tcW w:w="1720" w:type="dxa"/>
            <w:vAlign w:val="bottom"/>
            <w:tcBorders>
              <w:bottom w:val="single" w:sz="8" w:color="auto"/>
              <w:right w:val="single" w:sz="8" w:color="auto"/>
            </w:tcBorders>
          </w:tcPr>
          <w:p>
            <w:pPr>
              <w:spacing w:after="0"/>
              <w:rPr>
                <w:sz w:val="24"/>
                <w:szCs w:val="24"/>
                <w:color w:val="auto"/>
              </w:rPr>
            </w:pPr>
          </w:p>
        </w:tc>
      </w:tr>
      <w:tr>
        <w:trPr>
          <w:trHeight w:val="264"/>
        </w:trPr>
        <w:tc>
          <w:tcPr>
            <w:tcW w:w="1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June 15, 2026</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June 24, 2026</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3,498,892</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0.00%</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5.31%</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Content of the notification from Madison Avenue Partners: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notification dated June 24, 2026, contains the following information:</w:t>
      </w:r>
    </w:p>
    <w:p>
      <w:pPr>
        <w:ind w:left="500" w:hanging="492"/>
        <w:spacing w:after="0" w:line="230"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of notification: June 24, 2026</w:t>
      </w:r>
    </w:p>
    <w:p>
      <w:pPr>
        <w:ind w:left="500" w:hanging="492"/>
        <w:spacing w:after="0" w:line="230"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on which the threshold is crossed: June 15, 2026</w:t>
      </w:r>
    </w:p>
    <w:p>
      <w:pPr>
        <w:ind w:left="500" w:hanging="492"/>
        <w:spacing w:after="0" w:line="230"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Threshold of voting rights crossed (in %): 5%</w:t>
      </w:r>
    </w:p>
    <w:p>
      <w:pPr>
        <w:ind w:left="500" w:hanging="492"/>
        <w:spacing w:after="0" w:line="230"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Notification by: Madison Avenue Partners</w:t>
      </w:r>
    </w:p>
    <w:p>
      <w:pPr>
        <w:ind w:left="500" w:hanging="492"/>
        <w:spacing w:after="0" w:line="230"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Denominator: 65,897,071</w:t>
      </w:r>
    </w:p>
    <w:p>
      <w:pPr>
        <w:ind w:left="500" w:hanging="492"/>
        <w:spacing w:after="0" w:line="230"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 for the notification: Acquisition or disposal of voting securities or voting rights</w:t>
      </w:r>
    </w:p>
    <w:p>
      <w:pPr>
        <w:ind w:left="500" w:hanging="492"/>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Notified details: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02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A) Voting Rights</w:t>
            </w:r>
          </w:p>
        </w:tc>
        <w:tc>
          <w:tcPr>
            <w:tcW w:w="560" w:type="dxa"/>
            <w:vAlign w:val="bottom"/>
            <w:tcBorders>
              <w:top w:val="single" w:sz="8" w:color="auto"/>
              <w:bottom w:val="single" w:sz="8" w:color="auto"/>
              <w:right w:val="single" w:sz="8" w:color="auto"/>
            </w:tcBorders>
          </w:tcPr>
          <w:p>
            <w:pPr>
              <w:spacing w:after="0"/>
              <w:rPr>
                <w:sz w:val="24"/>
                <w:szCs w:val="24"/>
                <w:color w:val="auto"/>
              </w:rPr>
            </w:pPr>
          </w:p>
        </w:tc>
        <w:tc>
          <w:tcPr>
            <w:tcW w:w="1960" w:type="dxa"/>
            <w:vAlign w:val="bottom"/>
            <w:tcBorders>
              <w:top w:val="single" w:sz="8" w:color="auto"/>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Previous notification</w:t>
            </w:r>
          </w:p>
        </w:tc>
        <w:tc>
          <w:tcPr>
            <w:tcW w:w="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920" w:type="dxa"/>
            <w:vAlign w:val="bottom"/>
            <w:tcBorders>
              <w:top w:val="single" w:sz="8" w:color="auto"/>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2"/>
                <w:szCs w:val="22"/>
                <w:b w:val="1"/>
                <w:bCs w:val="1"/>
                <w:color w:val="auto"/>
              </w:rPr>
              <w:t>After the transaction</w:t>
            </w:r>
          </w:p>
        </w:tc>
      </w:tr>
      <w:tr>
        <w:trPr>
          <w:trHeight w:val="264"/>
        </w:trPr>
        <w:tc>
          <w:tcPr>
            <w:tcW w:w="2020" w:type="dxa"/>
            <w:vAlign w:val="bottom"/>
            <w:tcBorders>
              <w:left w:val="single" w:sz="8" w:color="auto"/>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right w:val="single" w:sz="8" w:color="auto"/>
            </w:tcBorders>
            <w:gridSpan w:val="3"/>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 of voting rights</w:t>
            </w:r>
          </w:p>
        </w:tc>
        <w:tc>
          <w:tcPr>
            <w:tcW w:w="60" w:type="dxa"/>
            <w:vAlign w:val="bottom"/>
            <w:tcBorders>
              <w:bottom w:val="single" w:sz="8" w:color="auto"/>
            </w:tcBorders>
          </w:tcPr>
          <w:p>
            <w:pPr>
              <w:spacing w:after="0"/>
              <w:rPr>
                <w:sz w:val="22"/>
                <w:szCs w:val="22"/>
                <w:color w:val="auto"/>
              </w:rPr>
            </w:pPr>
          </w:p>
        </w:tc>
        <w:tc>
          <w:tcPr>
            <w:tcW w:w="188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 of voting rights</w:t>
            </w:r>
          </w:p>
        </w:tc>
        <w:tc>
          <w:tcPr>
            <w:tcW w:w="100" w:type="dxa"/>
            <w:vAlign w:val="bottom"/>
            <w:tcBorders>
              <w:bottom w:val="single" w:sz="8" w:color="auto"/>
            </w:tcBorders>
          </w:tcPr>
          <w:p>
            <w:pPr>
              <w:spacing w:after="0"/>
              <w:rPr>
                <w:sz w:val="22"/>
                <w:szCs w:val="22"/>
                <w:color w:val="auto"/>
              </w:rPr>
            </w:pPr>
          </w:p>
        </w:tc>
        <w:tc>
          <w:tcPr>
            <w:tcW w:w="18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 of voting rights</w:t>
            </w:r>
          </w:p>
        </w:tc>
      </w:tr>
      <w:tr>
        <w:trPr>
          <w:trHeight w:val="223"/>
        </w:trPr>
        <w:tc>
          <w:tcPr>
            <w:tcW w:w="2580" w:type="dxa"/>
            <w:vAlign w:val="bottom"/>
            <w:tcBorders>
              <w:left w:val="single" w:sz="8" w:color="auto"/>
              <w:right w:val="single" w:sz="8" w:color="auto"/>
            </w:tcBorders>
            <w:gridSpan w:val="2"/>
          </w:tcPr>
          <w:p>
            <w:pPr>
              <w:ind w:left="300"/>
              <w:spacing w:after="0" w:line="223" w:lineRule="exact"/>
              <w:rPr>
                <w:sz w:val="20"/>
                <w:szCs w:val="20"/>
                <w:color w:val="auto"/>
              </w:rPr>
            </w:pPr>
            <w:r>
              <w:rPr>
                <w:rFonts w:ascii="Times New Roman" w:cs="Times New Roman" w:eastAsia="Times New Roman" w:hAnsi="Times New Roman"/>
                <w:sz w:val="22"/>
                <w:szCs w:val="22"/>
                <w:color w:val="auto"/>
              </w:rPr>
              <w:t>Holder of voting rights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gridSpan w:val="2"/>
          </w:tcPr>
          <w:p>
            <w:pPr>
              <w:ind w:left="40"/>
              <w:spacing w:after="0" w:line="223" w:lineRule="exact"/>
              <w:rPr>
                <w:sz w:val="20"/>
                <w:szCs w:val="20"/>
                <w:color w:val="auto"/>
              </w:rPr>
            </w:pPr>
            <w:r>
              <w:rPr>
                <w:rFonts w:ascii="Times New Roman" w:cs="Times New Roman" w:eastAsia="Times New Roman" w:hAnsi="Times New Roman"/>
                <w:sz w:val="22"/>
                <w:szCs w:val="22"/>
                <w:color w:val="auto"/>
              </w:rPr>
              <w:t>Linked to</w:t>
            </w:r>
          </w:p>
        </w:tc>
        <w:tc>
          <w:tcPr>
            <w:tcW w:w="980" w:type="dxa"/>
            <w:vAlign w:val="bottom"/>
            <w:tcBorders>
              <w:right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Not linked</w:t>
            </w:r>
          </w:p>
        </w:tc>
        <w:tc>
          <w:tcPr>
            <w:tcW w:w="100" w:type="dxa"/>
            <w:vAlign w:val="bottom"/>
          </w:tcPr>
          <w:p>
            <w:pPr>
              <w:spacing w:after="0"/>
              <w:rPr>
                <w:sz w:val="19"/>
                <w:szCs w:val="19"/>
                <w:color w:val="auto"/>
              </w:rPr>
            </w:pPr>
          </w:p>
        </w:tc>
        <w:tc>
          <w:tcPr>
            <w:tcW w:w="760" w:type="dxa"/>
            <w:vAlign w:val="bottom"/>
            <w:tcBorders>
              <w:right w:val="single" w:sz="8" w:color="auto"/>
            </w:tcBorders>
          </w:tcPr>
          <w:p>
            <w:pPr>
              <w:jc w:val="center"/>
              <w:ind w:right="12"/>
              <w:spacing w:after="0" w:line="223" w:lineRule="exact"/>
              <w:rPr>
                <w:sz w:val="20"/>
                <w:szCs w:val="20"/>
                <w:color w:val="auto"/>
              </w:rPr>
            </w:pPr>
            <w:r>
              <w:rPr>
                <w:rFonts w:ascii="Times New Roman" w:cs="Times New Roman" w:eastAsia="Times New Roman" w:hAnsi="Times New Roman"/>
                <w:sz w:val="22"/>
                <w:szCs w:val="22"/>
                <w:color w:val="auto"/>
                <w:w w:val="96"/>
              </w:rPr>
              <w:t>Linked</w:t>
            </w:r>
          </w:p>
        </w:tc>
        <w:tc>
          <w:tcPr>
            <w:tcW w:w="40" w:type="dxa"/>
            <w:vAlign w:val="bottom"/>
          </w:tcPr>
          <w:p>
            <w:pPr>
              <w:spacing w:after="0"/>
              <w:rPr>
                <w:sz w:val="19"/>
                <w:szCs w:val="19"/>
                <w:color w:val="auto"/>
              </w:rPr>
            </w:pPr>
          </w:p>
        </w:tc>
        <w:tc>
          <w:tcPr>
            <w:tcW w:w="104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Not linked</w:t>
            </w:r>
          </w:p>
        </w:tc>
      </w:tr>
      <w:tr>
        <w:trPr>
          <w:trHeight w:val="243"/>
        </w:trPr>
        <w:tc>
          <w:tcPr>
            <w:tcW w:w="20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securities</w:t>
            </w:r>
          </w:p>
        </w:tc>
        <w:tc>
          <w:tcPr>
            <w:tcW w:w="180" w:type="dxa"/>
            <w:vAlign w:val="bottom"/>
          </w:tcPr>
          <w:p>
            <w:pPr>
              <w:spacing w:after="0"/>
              <w:rPr>
                <w:sz w:val="21"/>
                <w:szCs w:val="21"/>
                <w:color w:val="auto"/>
              </w:rPr>
            </w:pPr>
          </w:p>
        </w:tc>
        <w:tc>
          <w:tcPr>
            <w:tcW w:w="800" w:type="dxa"/>
            <w:vAlign w:val="bottom"/>
            <w:tcBorders>
              <w:right w:val="single" w:sz="8" w:color="auto"/>
            </w:tcBorders>
          </w:tcPr>
          <w:p>
            <w:pPr>
              <w:jc w:val="center"/>
              <w:ind w:right="112"/>
              <w:spacing w:after="0" w:line="243" w:lineRule="exact"/>
              <w:rPr>
                <w:sz w:val="20"/>
                <w:szCs w:val="20"/>
                <w:color w:val="auto"/>
              </w:rPr>
            </w:pPr>
            <w:r>
              <w:rPr>
                <w:rFonts w:ascii="Times New Roman" w:cs="Times New Roman" w:eastAsia="Times New Roman" w:hAnsi="Times New Roman"/>
                <w:sz w:val="22"/>
                <w:szCs w:val="22"/>
                <w:color w:val="auto"/>
              </w:rPr>
              <w:t>to</w:t>
            </w:r>
          </w:p>
        </w:tc>
        <w:tc>
          <w:tcPr>
            <w:tcW w:w="100" w:type="dxa"/>
            <w:vAlign w:val="bottom"/>
          </w:tcPr>
          <w:p>
            <w:pPr>
              <w:spacing w:after="0"/>
              <w:rPr>
                <w:sz w:val="21"/>
                <w:szCs w:val="21"/>
                <w:color w:val="auto"/>
              </w:rPr>
            </w:pPr>
          </w:p>
        </w:tc>
        <w:tc>
          <w:tcPr>
            <w:tcW w:w="760" w:type="dxa"/>
            <w:vAlign w:val="bottom"/>
            <w:tcBorders>
              <w:right w:val="single" w:sz="8" w:color="auto"/>
            </w:tcBorders>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3"/>
              </w:rPr>
              <w:t>to</w:t>
            </w:r>
          </w:p>
        </w:tc>
        <w:tc>
          <w:tcPr>
            <w:tcW w:w="40" w:type="dxa"/>
            <w:vAlign w:val="bottom"/>
          </w:tcPr>
          <w:p>
            <w:pPr>
              <w:spacing w:after="0"/>
              <w:rPr>
                <w:sz w:val="21"/>
                <w:szCs w:val="21"/>
                <w:color w:val="auto"/>
              </w:rPr>
            </w:pPr>
          </w:p>
        </w:tc>
        <w:tc>
          <w:tcPr>
            <w:tcW w:w="10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to securities</w:t>
            </w:r>
          </w:p>
        </w:tc>
      </w:tr>
      <w:tr>
        <w:trPr>
          <w:trHeight w:val="283"/>
        </w:trPr>
        <w:tc>
          <w:tcPr>
            <w:tcW w:w="20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securities</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securities</w:t>
            </w: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23"/>
        </w:trPr>
        <w:tc>
          <w:tcPr>
            <w:tcW w:w="2580" w:type="dxa"/>
            <w:vAlign w:val="bottom"/>
            <w:tcBorders>
              <w:left w:val="single" w:sz="8" w:color="auto"/>
              <w:right w:val="single" w:sz="8" w:color="auto"/>
            </w:tcBorders>
            <w:gridSpan w:val="2"/>
          </w:tcPr>
          <w:p>
            <w:pPr>
              <w:ind w:left="40"/>
              <w:spacing w:after="0" w:line="223" w:lineRule="exact"/>
              <w:rPr>
                <w:sz w:val="20"/>
                <w:szCs w:val="20"/>
                <w:color w:val="auto"/>
              </w:rPr>
            </w:pPr>
            <w:r>
              <w:rPr>
                <w:rFonts w:ascii="Times New Roman" w:cs="Times New Roman" w:eastAsia="Times New Roman" w:hAnsi="Times New Roman"/>
                <w:sz w:val="22"/>
                <w:szCs w:val="22"/>
                <w:color w:val="auto"/>
              </w:rPr>
              <w:t>Madison Avenue Partners,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Borders>
              <w:right w:val="single" w:sz="8" w:color="auto"/>
            </w:tcBorders>
            <w:gridSpan w:val="2"/>
          </w:tcPr>
          <w:p>
            <w:pPr>
              <w:jc w:val="center"/>
              <w:ind w:right="732"/>
              <w:spacing w:after="0" w:line="223" w:lineRule="exact"/>
              <w:rPr>
                <w:sz w:val="20"/>
                <w:szCs w:val="20"/>
                <w:color w:val="auto"/>
              </w:rPr>
            </w:pPr>
            <w:r>
              <w:rPr>
                <w:rFonts w:ascii="Times New Roman" w:cs="Times New Roman" w:eastAsia="Times New Roman" w:hAnsi="Times New Roman"/>
                <w:sz w:val="22"/>
                <w:szCs w:val="22"/>
                <w:color w:val="auto"/>
                <w:w w:val="90"/>
              </w:rPr>
              <w:t>0</w:t>
            </w:r>
          </w:p>
        </w:tc>
        <w:tc>
          <w:tcPr>
            <w:tcW w:w="960" w:type="dxa"/>
            <w:vAlign w:val="bottom"/>
            <w:tcBorders>
              <w:right w:val="single" w:sz="8" w:color="auto"/>
            </w:tcBorders>
            <w:gridSpan w:val="2"/>
          </w:tcPr>
          <w:p>
            <w:pPr>
              <w:ind w:left="20"/>
              <w:spacing w:after="0" w:line="223" w:lineRule="exact"/>
              <w:rPr>
                <w:sz w:val="20"/>
                <w:szCs w:val="20"/>
                <w:color w:val="auto"/>
              </w:rPr>
            </w:pPr>
            <w:r>
              <w:rPr>
                <w:rFonts w:ascii="Times New Roman" w:cs="Times New Roman" w:eastAsia="Times New Roman" w:hAnsi="Times New Roman"/>
                <w:sz w:val="22"/>
                <w:szCs w:val="22"/>
                <w:color w:val="auto"/>
              </w:rPr>
              <w:t>3,498,892</w:t>
            </w:r>
          </w:p>
        </w:tc>
        <w:tc>
          <w:tcPr>
            <w:tcW w:w="18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right w:val="single" w:sz="8" w:color="auto"/>
            </w:tcBorders>
          </w:tcPr>
          <w:p>
            <w:pPr>
              <w:jc w:val="center"/>
              <w:ind w:right="12"/>
              <w:spacing w:after="0" w:line="223" w:lineRule="exact"/>
              <w:rPr>
                <w:sz w:val="20"/>
                <w:szCs w:val="20"/>
                <w:color w:val="auto"/>
              </w:rPr>
            </w:pPr>
            <w:r>
              <w:rPr>
                <w:rFonts w:ascii="Times New Roman" w:cs="Times New Roman" w:eastAsia="Times New Roman" w:hAnsi="Times New Roman"/>
                <w:sz w:val="22"/>
                <w:szCs w:val="22"/>
                <w:color w:val="auto"/>
                <w:w w:val="98"/>
              </w:rPr>
              <w:t>5.31%</w:t>
            </w:r>
          </w:p>
        </w:tc>
        <w:tc>
          <w:tcPr>
            <w:tcW w:w="4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r>
      <w:tr>
        <w:trPr>
          <w:trHeight w:val="283"/>
        </w:trPr>
        <w:tc>
          <w:tcPr>
            <w:tcW w:w="20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LP</w:t>
            </w:r>
          </w:p>
        </w:tc>
        <w:tc>
          <w:tcPr>
            <w:tcW w:w="5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669"/>
        </w:trPr>
        <w:tc>
          <w:tcPr>
            <w:tcW w:w="2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9"/>
        </w:trPr>
        <w:tc>
          <w:tcPr>
            <w:tcW w:w="2020" w:type="dxa"/>
            <w:vAlign w:val="bottom"/>
            <w:tcBorders>
              <w:left w:val="single" w:sz="8" w:color="auto"/>
              <w:right w:val="single" w:sz="8" w:color="auto"/>
            </w:tcBorders>
          </w:tcPr>
          <w:p>
            <w:pPr>
              <w:ind w:left="40"/>
              <w:spacing w:after="0" w:line="219" w:lineRule="exact"/>
              <w:rPr>
                <w:sz w:val="20"/>
                <w:szCs w:val="20"/>
                <w:color w:val="auto"/>
              </w:rPr>
            </w:pPr>
            <w:r>
              <w:rPr>
                <w:rFonts w:ascii="Times New Roman" w:cs="Times New Roman" w:eastAsia="Times New Roman" w:hAnsi="Times New Roman"/>
                <w:sz w:val="22"/>
                <w:szCs w:val="22"/>
                <w:b w:val="1"/>
                <w:bCs w:val="1"/>
                <w:color w:val="auto"/>
              </w:rPr>
              <w:t>B) Equivalent</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gridSpan w:val="6"/>
          </w:tcPr>
          <w:p>
            <w:pPr>
              <w:ind w:left="680"/>
              <w:spacing w:after="0" w:line="219" w:lineRule="exact"/>
              <w:rPr>
                <w:sz w:val="20"/>
                <w:szCs w:val="20"/>
                <w:color w:val="auto"/>
              </w:rPr>
            </w:pPr>
            <w:r>
              <w:rPr>
                <w:rFonts w:ascii="Times New Roman" w:cs="Times New Roman" w:eastAsia="Times New Roman" w:hAnsi="Times New Roman"/>
                <w:sz w:val="22"/>
                <w:szCs w:val="22"/>
                <w:b w:val="1"/>
                <w:bCs w:val="1"/>
                <w:color w:val="auto"/>
              </w:rPr>
              <w:t>After the transaction</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r>
      <w:tr>
        <w:trPr>
          <w:trHeight w:val="243"/>
        </w:trPr>
        <w:tc>
          <w:tcPr>
            <w:tcW w:w="20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financial</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r>
      <w:tr>
        <w:trPr>
          <w:trHeight w:val="287"/>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instruments</w:t>
            </w: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19"/>
        </w:trPr>
        <w:tc>
          <w:tcPr>
            <w:tcW w:w="2020" w:type="dxa"/>
            <w:vAlign w:val="bottom"/>
            <w:tcBorders>
              <w:left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8"/>
              </w:rPr>
              <w:t>Holder of equivalent</w:t>
            </w:r>
          </w:p>
        </w:tc>
        <w:tc>
          <w:tcPr>
            <w:tcW w:w="1380" w:type="dxa"/>
            <w:vAlign w:val="bottom"/>
            <w:gridSpan w:val="3"/>
          </w:tcPr>
          <w:p>
            <w:pPr>
              <w:jc w:val="center"/>
              <w:ind w:left="32"/>
              <w:spacing w:after="0" w:line="220" w:lineRule="exact"/>
              <w:rPr>
                <w:sz w:val="20"/>
                <w:szCs w:val="20"/>
                <w:color w:val="auto"/>
              </w:rPr>
            </w:pPr>
            <w:r>
              <w:rPr>
                <w:rFonts w:ascii="Times New Roman" w:cs="Times New Roman" w:eastAsia="Times New Roman" w:hAnsi="Times New Roman"/>
                <w:sz w:val="22"/>
                <w:szCs w:val="22"/>
                <w:b w:val="1"/>
                <w:bCs w:val="1"/>
                <w:color w:val="auto"/>
                <w:w w:val="95"/>
              </w:rPr>
              <w:t>Type of</w:t>
            </w:r>
          </w:p>
        </w:tc>
        <w:tc>
          <w:tcPr>
            <w:tcW w:w="16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gridSpan w:val="2"/>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6"/>
              </w:rPr>
              <w:t>Expiration</w:t>
            </w:r>
          </w:p>
        </w:tc>
        <w:tc>
          <w:tcPr>
            <w:tcW w:w="90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8"/>
              </w:rPr>
              <w:t>Exercise</w:t>
            </w:r>
          </w:p>
        </w:tc>
        <w:tc>
          <w:tcPr>
            <w:tcW w:w="1080" w:type="dxa"/>
            <w:vAlign w:val="bottom"/>
            <w:tcBorders>
              <w:right w:val="single" w:sz="8" w:color="auto"/>
            </w:tcBorders>
            <w:gridSpan w:val="3"/>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8"/>
              </w:rPr>
              <w:t># of voting</w:t>
            </w:r>
          </w:p>
        </w:tc>
        <w:tc>
          <w:tcPr>
            <w:tcW w:w="800" w:type="dxa"/>
            <w:vAlign w:val="bottom"/>
            <w:tcBorders>
              <w:right w:val="single" w:sz="8" w:color="auto"/>
            </w:tcBorders>
            <w:gridSpan w:val="2"/>
          </w:tcPr>
          <w:p>
            <w:pPr>
              <w:jc w:val="center"/>
              <w:ind w:right="20"/>
              <w:spacing w:after="0" w:line="220" w:lineRule="exact"/>
              <w:rPr>
                <w:sz w:val="20"/>
                <w:szCs w:val="20"/>
                <w:color w:val="auto"/>
              </w:rPr>
            </w:pPr>
            <w:r>
              <w:rPr>
                <w:rFonts w:ascii="Times New Roman" w:cs="Times New Roman" w:eastAsia="Times New Roman" w:hAnsi="Times New Roman"/>
                <w:sz w:val="22"/>
                <w:szCs w:val="22"/>
                <w:b w:val="1"/>
                <w:bCs w:val="1"/>
                <w:color w:val="auto"/>
              </w:rPr>
              <w:t>% of</w:t>
            </w:r>
          </w:p>
        </w:tc>
        <w:tc>
          <w:tcPr>
            <w:tcW w:w="104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7"/>
              </w:rPr>
              <w:t>Settlement</w:t>
            </w:r>
          </w:p>
        </w:tc>
      </w:tr>
      <w:tr>
        <w:trPr>
          <w:trHeight w:val="243"/>
        </w:trPr>
        <w:tc>
          <w:tcPr>
            <w:tcW w:w="202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financial</w:t>
            </w:r>
          </w:p>
        </w:tc>
        <w:tc>
          <w:tcPr>
            <w:tcW w:w="1380" w:type="dxa"/>
            <w:vAlign w:val="bottom"/>
            <w:gridSpan w:val="3"/>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financial</w:t>
            </w:r>
          </w:p>
        </w:tc>
        <w:tc>
          <w:tcPr>
            <w:tcW w:w="160" w:type="dxa"/>
            <w:vAlign w:val="bottom"/>
            <w:tcBorders>
              <w:right w:val="single" w:sz="8" w:color="auto"/>
            </w:tcBorders>
          </w:tcPr>
          <w:p>
            <w:pPr>
              <w:spacing w:after="0"/>
              <w:rPr>
                <w:sz w:val="21"/>
                <w:szCs w:val="21"/>
                <w:color w:val="auto"/>
              </w:rPr>
            </w:pP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4"/>
              </w:rPr>
              <w:t>date</w:t>
            </w:r>
          </w:p>
        </w:tc>
        <w:tc>
          <w:tcPr>
            <w:tcW w:w="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period or</w:t>
            </w:r>
          </w:p>
        </w:tc>
        <w:tc>
          <w:tcPr>
            <w:tcW w:w="1080" w:type="dxa"/>
            <w:vAlign w:val="bottom"/>
            <w:tcBorders>
              <w:right w:val="single" w:sz="8" w:color="auto"/>
            </w:tcBorders>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rights that</w:t>
            </w:r>
          </w:p>
        </w:tc>
        <w:tc>
          <w:tcPr>
            <w:tcW w:w="800" w:type="dxa"/>
            <w:vAlign w:val="bottom"/>
            <w:tcBorders>
              <w:right w:val="single" w:sz="8" w:color="auto"/>
            </w:tcBorders>
            <w:gridSpan w:val="2"/>
          </w:tcPr>
          <w:p>
            <w:pPr>
              <w:jc w:val="center"/>
              <w:ind w:right="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voting</w:t>
            </w:r>
          </w:p>
        </w:tc>
        <w:tc>
          <w:tcPr>
            <w:tcW w:w="1040" w:type="dxa"/>
            <w:vAlign w:val="bottom"/>
            <w:tcBorders>
              <w:right w:val="single" w:sz="8" w:color="auto"/>
            </w:tcBorders>
          </w:tcPr>
          <w:p>
            <w:pPr>
              <w:spacing w:after="0"/>
              <w:rPr>
                <w:sz w:val="21"/>
                <w:szCs w:val="21"/>
                <w:color w:val="auto"/>
              </w:rPr>
            </w:pPr>
          </w:p>
        </w:tc>
      </w:tr>
      <w:tr>
        <w:trPr>
          <w:trHeight w:val="243"/>
        </w:trPr>
        <w:tc>
          <w:tcPr>
            <w:tcW w:w="202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instruments</w:t>
            </w:r>
          </w:p>
        </w:tc>
        <w:tc>
          <w:tcPr>
            <w:tcW w:w="1380" w:type="dxa"/>
            <w:vAlign w:val="bottom"/>
            <w:gridSpan w:val="3"/>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instrument</w:t>
            </w:r>
          </w:p>
        </w:tc>
        <w:tc>
          <w:tcPr>
            <w:tcW w:w="16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date</w:t>
            </w:r>
          </w:p>
        </w:tc>
        <w:tc>
          <w:tcPr>
            <w:tcW w:w="180" w:type="dxa"/>
            <w:vAlign w:val="bottom"/>
          </w:tcPr>
          <w:p>
            <w:pPr>
              <w:spacing w:after="0"/>
              <w:rPr>
                <w:sz w:val="21"/>
                <w:szCs w:val="21"/>
                <w:color w:val="auto"/>
              </w:rPr>
            </w:pPr>
          </w:p>
        </w:tc>
        <w:tc>
          <w:tcPr>
            <w:tcW w:w="900" w:type="dxa"/>
            <w:vAlign w:val="bottom"/>
            <w:tcBorders>
              <w:right w:val="single" w:sz="8" w:color="auto"/>
            </w:tcBorders>
            <w:gridSpan w:val="2"/>
          </w:tcPr>
          <w:p>
            <w:pPr>
              <w:jc w:val="center"/>
              <w:ind w:righ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may be</w:t>
            </w:r>
          </w:p>
        </w:tc>
        <w:tc>
          <w:tcPr>
            <w:tcW w:w="800" w:type="dxa"/>
            <w:vAlign w:val="bottom"/>
            <w:tcBorders>
              <w:right w:val="single" w:sz="8" w:color="auto"/>
            </w:tcBorders>
            <w:gridSpan w:val="2"/>
          </w:tcPr>
          <w:p>
            <w:pPr>
              <w:jc w:val="center"/>
              <w:ind w:right="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rights</w:t>
            </w:r>
          </w:p>
        </w:tc>
        <w:tc>
          <w:tcPr>
            <w:tcW w:w="1040" w:type="dxa"/>
            <w:vAlign w:val="bottom"/>
            <w:tcBorders>
              <w:right w:val="single" w:sz="8" w:color="auto"/>
            </w:tcBorders>
          </w:tcPr>
          <w:p>
            <w:pPr>
              <w:spacing w:after="0"/>
              <w:rPr>
                <w:sz w:val="21"/>
                <w:szCs w:val="21"/>
                <w:color w:val="auto"/>
              </w:rPr>
            </w:pPr>
          </w:p>
        </w:tc>
      </w:tr>
      <w:tr>
        <w:trPr>
          <w:trHeight w:val="243"/>
        </w:trPr>
        <w:tc>
          <w:tcPr>
            <w:tcW w:w="2020" w:type="dxa"/>
            <w:vAlign w:val="bottom"/>
            <w:tcBorders>
              <w:left w:val="single" w:sz="8" w:color="auto"/>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acquired if</w:t>
            </w:r>
          </w:p>
        </w:tc>
        <w:tc>
          <w:tcPr>
            <w:tcW w:w="7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r>
      <w:tr>
        <w:trPr>
          <w:trHeight w:val="243"/>
        </w:trPr>
        <w:tc>
          <w:tcPr>
            <w:tcW w:w="2020" w:type="dxa"/>
            <w:vAlign w:val="bottom"/>
            <w:tcBorders>
              <w:left w:val="single" w:sz="8" w:color="auto"/>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Borders>
              <w:right w:val="single" w:sz="8" w:color="auto"/>
            </w:tcBorders>
            <w:gridSpan w:val="2"/>
          </w:tcPr>
          <w:p>
            <w:pPr>
              <w:jc w:val="center"/>
              <w:ind w:right="92"/>
              <w:spacing w:after="0" w:line="243" w:lineRule="exact"/>
              <w:rPr>
                <w:sz w:val="20"/>
                <w:szCs w:val="20"/>
                <w:color w:val="auto"/>
              </w:rPr>
            </w:pPr>
            <w:r>
              <w:rPr>
                <w:rFonts w:ascii="Times New Roman" w:cs="Times New Roman" w:eastAsia="Times New Roman" w:hAnsi="Times New Roman"/>
                <w:sz w:val="22"/>
                <w:szCs w:val="22"/>
                <w:b w:val="1"/>
                <w:bCs w:val="1"/>
                <w:color w:val="auto"/>
              </w:rPr>
              <w:t>the</w:t>
            </w:r>
          </w:p>
        </w:tc>
        <w:tc>
          <w:tcPr>
            <w:tcW w:w="7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r>
      <w:tr>
        <w:trPr>
          <w:trHeight w:val="243"/>
        </w:trPr>
        <w:tc>
          <w:tcPr>
            <w:tcW w:w="2020" w:type="dxa"/>
            <w:vAlign w:val="bottom"/>
            <w:tcBorders>
              <w:left w:val="single" w:sz="8" w:color="auto"/>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instrument</w:t>
            </w:r>
          </w:p>
        </w:tc>
        <w:tc>
          <w:tcPr>
            <w:tcW w:w="7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r>
      <w:tr>
        <w:trPr>
          <w:trHeight w:val="243"/>
        </w:trPr>
        <w:tc>
          <w:tcPr>
            <w:tcW w:w="2020" w:type="dxa"/>
            <w:vAlign w:val="bottom"/>
            <w:tcBorders>
              <w:left w:val="single" w:sz="8" w:color="auto"/>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Borders>
              <w:right w:val="single" w:sz="8" w:color="auto"/>
            </w:tcBorders>
            <w:gridSpan w:val="2"/>
          </w:tcPr>
          <w:p>
            <w:pPr>
              <w:jc w:val="center"/>
              <w:ind w:right="92"/>
              <w:spacing w:after="0" w:line="243" w:lineRule="exact"/>
              <w:rPr>
                <w:sz w:val="20"/>
                <w:szCs w:val="20"/>
                <w:color w:val="auto"/>
              </w:rPr>
            </w:pPr>
            <w:r>
              <w:rPr>
                <w:rFonts w:ascii="Times New Roman" w:cs="Times New Roman" w:eastAsia="Times New Roman" w:hAnsi="Times New Roman"/>
                <w:sz w:val="22"/>
                <w:szCs w:val="22"/>
                <w:b w:val="1"/>
                <w:bCs w:val="1"/>
                <w:color w:val="auto"/>
                <w:w w:val="95"/>
              </w:rPr>
              <w:t>is</w:t>
            </w:r>
          </w:p>
        </w:tc>
        <w:tc>
          <w:tcPr>
            <w:tcW w:w="7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r>
      <w:tr>
        <w:trPr>
          <w:trHeight w:val="287"/>
        </w:trPr>
        <w:tc>
          <w:tcPr>
            <w:tcW w:w="202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exercised</w:t>
            </w: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64"/>
        </w:trPr>
        <w:tc>
          <w:tcPr>
            <w:tcW w:w="2020" w:type="dxa"/>
            <w:vAlign w:val="bottom"/>
            <w:tcBorders>
              <w:left w:val="single" w:sz="8" w:color="auto"/>
              <w:bottom w:val="single" w:sz="8" w:color="auto"/>
              <w:right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r>
      <w:tr>
        <w:trPr>
          <w:trHeight w:val="264"/>
        </w:trPr>
        <w:tc>
          <w:tcPr>
            <w:tcW w:w="2020" w:type="dxa"/>
            <w:vAlign w:val="bottom"/>
            <w:tcBorders>
              <w:left w:val="single" w:sz="8" w:color="auto"/>
              <w:bottom w:val="single" w:sz="8" w:color="auto"/>
              <w:right w:val="single" w:sz="8" w:color="auto"/>
            </w:tcBorders>
          </w:tcPr>
          <w:p>
            <w:pPr>
              <w:spacing w:after="0"/>
              <w:rPr>
                <w:sz w:val="22"/>
                <w:szCs w:val="22"/>
                <w:color w:val="auto"/>
              </w:rPr>
            </w:pPr>
          </w:p>
        </w:tc>
        <w:tc>
          <w:tcPr>
            <w:tcW w:w="1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6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0</w:t>
            </w:r>
          </w:p>
        </w:tc>
        <w:tc>
          <w:tcPr>
            <w:tcW w:w="10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0.00%</w:t>
            </w:r>
          </w:p>
        </w:tc>
        <w:tc>
          <w:tcPr>
            <w:tcW w:w="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r>
      <w:tr>
        <w:trPr>
          <w:trHeight w:val="668"/>
        </w:trPr>
        <w:tc>
          <w:tcPr>
            <w:tcW w:w="2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20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(A&amp;B)</w:t>
            </w:r>
          </w:p>
        </w:tc>
        <w:tc>
          <w:tcPr>
            <w:tcW w:w="560" w:type="dxa"/>
            <w:vAlign w:val="bottom"/>
            <w:tcBorders>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b w:val="1"/>
                <w:bCs w:val="1"/>
                <w:color w:val="auto"/>
              </w:rPr>
              <w:t># of voting rights</w:t>
            </w: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b w:val="1"/>
                <w:bCs w:val="1"/>
                <w:color w:val="auto"/>
                <w:w w:val="97"/>
              </w:rPr>
              <w:t>% of voting rights</w:t>
            </w:r>
          </w:p>
        </w:tc>
        <w:tc>
          <w:tcPr>
            <w:tcW w:w="1040" w:type="dxa"/>
            <w:vAlign w:val="bottom"/>
            <w:tcBorders>
              <w:bottom w:val="single" w:sz="8" w:color="auto"/>
              <w:right w:val="single" w:sz="8" w:color="auto"/>
            </w:tcBorders>
          </w:tcPr>
          <w:p>
            <w:pPr>
              <w:spacing w:after="0"/>
              <w:rPr>
                <w:sz w:val="22"/>
                <w:szCs w:val="22"/>
                <w:color w:val="auto"/>
              </w:rPr>
            </w:pPr>
          </w:p>
        </w:tc>
      </w:tr>
      <w:tr>
        <w:trPr>
          <w:trHeight w:val="263"/>
        </w:trPr>
        <w:tc>
          <w:tcPr>
            <w:tcW w:w="2020" w:type="dxa"/>
            <w:vAlign w:val="bottom"/>
            <w:tcBorders>
              <w:left w:val="single" w:sz="8" w:color="auto"/>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gridSpan w:val="2"/>
          </w:tcPr>
          <w:p>
            <w:pPr>
              <w:spacing w:after="0"/>
              <w:rPr>
                <w:sz w:val="22"/>
                <w:szCs w:val="22"/>
                <w:color w:val="auto"/>
              </w:rPr>
            </w:pPr>
          </w:p>
        </w:tc>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3,498,892</w:t>
            </w: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9"/>
              </w:rPr>
              <w:t>5.31%</w:t>
            </w: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r>
    </w:tbl>
    <w:p>
      <w:pPr>
        <w:spacing w:after="0" w:line="189" w:lineRule="exact"/>
        <w:rPr>
          <w:sz w:val="20"/>
          <w:szCs w:val="20"/>
          <w:color w:val="auto"/>
        </w:rPr>
      </w:pPr>
    </w:p>
    <w:p>
      <w:pPr>
        <w:ind w:right="2200"/>
        <w:spacing w:after="0" w:line="285" w:lineRule="auto"/>
        <w:rPr>
          <w:sz w:val="20"/>
          <w:szCs w:val="20"/>
          <w:color w:val="auto"/>
        </w:rPr>
      </w:pPr>
      <w:r>
        <w:rPr>
          <w:rFonts w:ascii="Times New Roman" w:cs="Times New Roman" w:eastAsia="Times New Roman" w:hAnsi="Times New Roman"/>
          <w:sz w:val="22"/>
          <w:szCs w:val="22"/>
          <w:color w:val="auto"/>
        </w:rPr>
        <w:t xml:space="preserve">The chain of control has been described at the end of the notification (section 11) and can be found </w:t>
      </w:r>
      <w:r>
        <w:rPr>
          <w:rFonts w:ascii="Times New Roman" w:cs="Times New Roman" w:eastAsia="Times New Roman" w:hAnsi="Times New Roman"/>
          <w:sz w:val="22"/>
          <w:szCs w:val="22"/>
          <w:u w:val="single" w:color="auto"/>
          <w:color w:val="auto"/>
        </w:rPr>
        <w:t>here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About Lakefront</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Biotherapeutics</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Lakefront Biotherapeutics (formerly known as Galapagos) is a biotechnology company dedicated to building a differentiated pipeline of medicines for patients with serious diseases in areas of high unmet need. The Company has established a</w:t>
      </w:r>
    </w:p>
    <w:p>
      <w:pPr>
        <w:sectPr>
          <w:pgSz w:w="11900" w:h="16901" w:orient="portrait"/>
          <w:cols w:equalWidth="0" w:num="1">
            <w:col w:w="11240"/>
          </w:cols>
          <w:pgMar w:left="320" w:top="108" w:right="339" w:bottom="0" w:gutter="0" w:footer="0" w:header="0"/>
        </w:sectPr>
      </w:pPr>
    </w:p>
    <w:bookmarkStart w:id="4" w:name="page5"/>
    <w:bookmarkEnd w:id="4"/>
    <w:p>
      <w:pPr>
        <w:jc w:val="both"/>
        <w:spacing w:after="0" w:line="283" w:lineRule="exact"/>
        <w:rPr>
          <w:sz w:val="20"/>
          <w:szCs w:val="20"/>
          <w:color w:val="auto"/>
        </w:rPr>
      </w:pPr>
      <w:r>
        <w:rPr>
          <w:rFonts w:ascii="Times New Roman" w:cs="Times New Roman" w:eastAsia="Times New Roman" w:hAnsi="Times New Roman"/>
          <w:sz w:val="21"/>
          <w:szCs w:val="21"/>
          <w:color w:val="auto"/>
        </w:rPr>
        <w:t>clinical</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stage portfolio in immunology and inflammation, anchored by gamgertamig, a potential first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class BCMAxCD3 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cell engager for autoimmune diseases. Backed by deep deal</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making expertise, operational flexibility, and a strong capital position, Lakefront identifies, acquires, and advances high</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quality assets with clear potential to deliver meaningful patient impact and long</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term shareholder value. For more information, visit https://www.lakefrontbio.com or follow us on LinkedIn or 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contact Lakefront Biotherapeutics: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Sherri Spear</w:t>
      </w:r>
    </w:p>
    <w:p>
      <w:pPr>
        <w:spacing w:after="0" w:line="231" w:lineRule="auto"/>
        <w:rPr>
          <w:sz w:val="20"/>
          <w:szCs w:val="20"/>
          <w:color w:val="auto"/>
        </w:rPr>
      </w:pPr>
      <w:r>
        <w:rPr>
          <w:rFonts w:ascii="Times New Roman" w:cs="Times New Roman" w:eastAsia="Times New Roman" w:hAnsi="Times New Roman"/>
          <w:sz w:val="22"/>
          <w:szCs w:val="22"/>
          <w:color w:val="auto"/>
        </w:rPr>
        <w:t>+1 412 522 6418</w:t>
      </w:r>
    </w:p>
    <w:p>
      <w:pPr>
        <w:spacing w:after="0"/>
        <w:rPr>
          <w:sz w:val="20"/>
          <w:szCs w:val="20"/>
          <w:color w:val="auto"/>
        </w:rPr>
      </w:pPr>
      <w:r>
        <w:rPr>
          <w:rFonts w:ascii="Times New Roman" w:cs="Times New Roman" w:eastAsia="Times New Roman" w:hAnsi="Times New Roman"/>
          <w:sz w:val="22"/>
          <w:szCs w:val="22"/>
          <w:color w:val="auto"/>
        </w:rPr>
        <w:t>sherri.spear@lakefrontbio.com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right="660" w:firstLine="8"/>
        <w:spacing w:after="0" w:line="189" w:lineRule="auto"/>
        <w:tabs>
          <w:tab w:leader="none" w:pos="144"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Belgian Act of 2 May 2007 on the disclosure of major shareholdings in issuers whose shares are admitted to trading on a regulated market and regarding miscellaneous provisions, as amended from time to time.</w:t>
      </w:r>
    </w:p>
    <w:sectPr>
      <w:pgSz w:w="11900" w:h="16838" w:orient="portrait"/>
      <w:cols w:equalWidth="0" w:num="1">
        <w:col w:w="11240"/>
      </w:cols>
      <w:pgMar w:left="320" w:top="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2026-06-30T05:03:51Z</dcterms:created>
  <dcterms:modified xsi:type="dcterms:W3CDTF">2026-06-30T05:03:51Z</dcterms:modified>
</cp:coreProperties>
</file>