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e665454_424b3-galapagos.htm"/>
      <w:bookmarkStart w:id="1" w:name="kse665454_424b3galapagos"/>
      <w:bookmarkEnd w:id="0"/>
      <w:bookmarkEnd w:id="1"/>
      <w:r>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Filed Pursuant to Rule 424(b)(3)</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Statement on Form F-6</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No. 333-203584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ADR]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56"/>
        <w:gridCol w:w="8849"/>
      </w:tblGrid>
      <w:tr>
        <w:trPr/>
        <w:tc>
          <w:tcPr>
            <w:tcW w:w="1356" w:type="dxa"/>
            <w:tcBorders/>
            <w:vAlign w:val="center"/>
          </w:tcPr>
          <w:p>
            <w:pPr>
              <w:pStyle w:val="TableContents"/>
              <w:bidi w:val="0"/>
              <w:spacing w:before="0" w:after="283"/>
              <w:jc w:val="left"/>
              <w:rPr/>
            </w:pPr>
            <w:r>
              <w:rPr/>
              <w:t>Number</w:t>
            </w:r>
          </w:p>
        </w:tc>
        <w:tc>
          <w:tcPr>
            <w:tcW w:w="8849" w:type="dxa"/>
            <w:tcBorders/>
            <w:vAlign w:val="center"/>
          </w:tcPr>
          <w:p>
            <w:pPr>
              <w:pStyle w:val="TableContents"/>
              <w:bidi w:val="0"/>
              <w:spacing w:before="0" w:after="283"/>
              <w:jc w:val="right"/>
              <w:rPr/>
            </w:pPr>
            <w:r>
              <w:rPr/>
              <w:t>CUSIP NUMBER:  </w:t>
            </w:r>
          </w:p>
        </w:tc>
      </w:tr>
      <w:tr>
        <w:trPr/>
        <w:tc>
          <w:tcPr>
            <w:tcW w:w="1356" w:type="dxa"/>
            <w:tcBorders/>
            <w:vAlign w:val="center"/>
          </w:tcPr>
          <w:p>
            <w:pPr>
              <w:pStyle w:val="TableContents"/>
              <w:bidi w:val="0"/>
              <w:spacing w:before="0" w:after="283"/>
              <w:jc w:val="left"/>
              <w:rPr/>
            </w:pPr>
            <w:r>
              <w:rPr/>
              <w:t>_____________</w:t>
            </w:r>
          </w:p>
        </w:tc>
        <w:tc>
          <w:tcPr>
            <w:tcW w:w="8849" w:type="dxa"/>
            <w:tcBorders/>
            <w:vAlign w:val="center"/>
          </w:tcPr>
          <w:p>
            <w:pPr>
              <w:pStyle w:val="TableContents"/>
              <w:bidi w:val="0"/>
              <w:spacing w:before="0" w:after="283"/>
              <w:jc w:val="left"/>
              <w:rPr/>
            </w:pPr>
            <w:r>
              <w:rPr/>
              <w:t> </w:t>
            </w:r>
          </w:p>
        </w:tc>
      </w:tr>
      <w:tr>
        <w:trPr/>
        <w:tc>
          <w:tcPr>
            <w:tcW w:w="1356" w:type="dxa"/>
            <w:tcBorders/>
            <w:vAlign w:val="center"/>
          </w:tcPr>
          <w:p>
            <w:pPr>
              <w:pStyle w:val="TableContents"/>
              <w:bidi w:val="0"/>
              <w:spacing w:before="0" w:after="283"/>
              <w:jc w:val="left"/>
              <w:rPr/>
            </w:pPr>
            <w:r>
              <w:rPr/>
              <w:t> </w:t>
            </w:r>
          </w:p>
        </w:tc>
        <w:tc>
          <w:tcPr>
            <w:tcW w:w="8849" w:type="dxa"/>
            <w:tcBorders/>
            <w:vAlign w:val="center"/>
          </w:tcPr>
          <w:p>
            <w:pPr>
              <w:pStyle w:val="TableContents"/>
              <w:bidi w:val="0"/>
              <w:spacing w:before="0" w:after="283"/>
              <w:jc w:val="left"/>
              <w:rPr/>
            </w:pPr>
            <w:r>
              <w:rPr/>
              <w:t>American Depositary Shares (each American Depositary Share representing the right to receive one (1) fully paid ordinary share)</w:t>
            </w:r>
          </w:p>
        </w:tc>
      </w:tr>
    </w:tbl>
    <w:p>
      <w:pPr>
        <w:pStyle w:val="TextBody"/>
        <w:bidi w:val="0"/>
        <w:spacing w:before="0" w:after="0"/>
        <w:ind w:left="57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RECEIPT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LAKEFRONT BIOTHERAPEUTICS NV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(Organized and existing under the laws of the Kingdom of Belgium)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CITIBANK, N.A., a national banking association organized and existing under the laws of the United States of America, as depositary (the “Depositary”), hereby certifies that _____________is the owner of ______________ American Depositary Shares (hereinafter “ADS”) representing deposited ordinary shares, including evidence of rights to receive such ordinary shares (the “Shares”), of Lakefront Biotherapeutics NV (formerly known as ‘Galapagos NV’), a corporation organized and existing under the laws of the Kingdom of Belgium (the “Company”). As of the date of the Deposit Agreement (as hereinafter defined), each ADS represents the right to receive one (1) Share deposited under the Deposit Agreement with the Custodian, which at the date of execution of the Deposit Agreement is Citibank International Limited (the “Custodian”). The ADS(s)-to-Share(s) ratio is subject to amendment as provided in Articles IV and VI of the Deposit Agreement. The Depositary’s Principal Office is located at 388 Greenwich Street, New York, New York 10013, U.S.A.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The Deposit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American Depositary Receipt is one of an issue of American Depositary Receipts (“ADRs”), all issued and to be issued upon the terms and conditions set forth in the Amended and Restated Deposit Agreement, dated as of May 4, 2015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used herein which are not otherwise defined herein shall have the meanings ascribed thereto in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Surrender of ADSs and Withdrawal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 of this ADR (and of the ADSs evidenced hereby) shall be 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this ADR evidencing the surrendered ADSs, of the Deposit Agreement, of the Company’s Articles of Association and of any applicable laws and the rules of the relevant Settlement System, and to any provisions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the Deposit Agreement, of this ADR evidencing the ADS so canceled, of the Articles of Association of the Company, of any applicable laws and of the rules of the relevant Settlement System, and to the terms and conditions of or governing the Deposited Securities,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an aggregated number of fractional Shares (represented by the ADSs so surrendered) which equals one Share or an integral multiple thereof and remit the proceeds of such sale (net of (a) applicable fees and charges of, and expenses incurred by, the Depositary and (b) taxes required to be withheld as a result of such sale) to the person surrendering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Transfer, Combination and Split-up of ADRs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Registrar shall register the transfer of this ADR (and of the ADSs represented 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xml:space="preserve"> to the terms and conditions of this ADR,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Depository,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have been paid, </w:t>
      </w:r>
      <w:r>
        <w:rPr>
          <w:rFonts w:ascii="Times New Roman;Times;Serif" w:hAnsi="Times New Roman;Times;Serif"/>
          <w:b w:val="false"/>
          <w:i/>
          <w:caps w:val="false"/>
          <w:smallCaps w:val="false"/>
          <w:sz w:val="20"/>
        </w:rPr>
        <w:t>subject, however, in each case</w:t>
      </w:r>
      <w:r>
        <w:rPr>
          <w:rFonts w:ascii="Times New Roman;Times;Serif" w:hAnsi="Times New Roman;Times;Serif"/>
          <w:b w:val="false"/>
          <w:i w:val="false"/>
          <w:caps w:val="false"/>
          <w:smallCaps w:val="false"/>
          <w:sz w:val="20"/>
        </w:rPr>
        <w:t>, to the terms and conditions of this ADR, of the Deposit Agreement and of applicable law, in each case as in effect at the time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appoint one or more co-transfer agents for the purpose of effecting transfers, combinations and split-ups of ADRs at designated transfer offices on behalf of the Depositary and the Depositary shall notify the Company in writing upon any such appointment. In carrying out its functions, a co-transfer agent may require evidence of authority and compliance with applicable laws and other requirements by Holders or persons entitled to such ADRs and will be entitled to protection and indemnity to the same extent as the Depositary. Such co-transfer agents may be removed and substitutes appointed by the Depositary and the Depositary shall notify the Company in writing upon any such removal or substitution. Each co-transfer agent appointed under Section 2.6 of the Deposit Agreement (other than the Depositary) shall give notice in writing to the Depositary accepting such appointment and agreeing to be bound by the applicable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Pre-Conditions to Registration, Transfer,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a condition precedent to the execution and delivery, the registration of issuance, 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any Settlement System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therewith at any time subject only to (i) temporary delays caused by closing of the transfer books of the Depositary or the Company or Settlement System (when applicable)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Compliance With Information Requests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of the Deposit Agreement or this ADR, each Holder and 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as to the capacity in which such Holder or Beneficial Owner owns ADSs (and the Shares represented by such ADSs,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Ownership Restrictions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applicable law, notwithstanding any other provision of this ADR or of the Deposit Agreement,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Reporting Obligations and Regulatory Approvals; Disclosure of Interests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Applicable laws and regulations may require holders and beneficial 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advised the Depositary and the parties to the Deposit Agreement acknowledge that, Belgian law, as in effect on the date of the Deposit Agreement, provides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or legal entity, which owns or acquires securities of the Company granting voting rights (including Shares) (either directly or by ownership of ADSs or both), whether representing the share capital or not, must disclose to the Company and to the Belgian Financial Services and Markets Authority (FSMA) the number of securities that such person or legal entity owns, alone or jointly with one or several other persons or legal entities, when the voting rights attached to such securities amount to 5 percent or more of the total of the voting rights existing when the situation triggering the disclosure obligation occurs. Such person or legal entity must make the same disclosure in the event of a transfer or of an additional acquisition of such securities when, after such transaction, the voting rights attached to securities owned by such person or legal entity amount to 5 percent, 10 percent, and so on by blocks of 5 percent of the total of the voting rights existing when the situation triggering the disclosure obligation occurs, or when the voting rights attached to securities owned by such person or legal entity fall below one of the thresholds referred to in this Paragraph (7)(a);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person or legal entity which acquires or transfers, alone or jointly, the direct or indirect control of a corporation or other legal entity which owns 5 percent at least of the voting rights of the Company (either directly or by ownership of ADSs or both) must disclose such acquisition or transfer to the Company and to the FSMA;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disclosure described above is also required when, as a result of events changing the breakdown of voting rights, the percentage of the voting rights attached to the voting securities reaches, exceeds or falls below the thresholds referred to in Paragraph (7)(a) above, even when no acquisition or disposal of securities has occurred (e.g., as a result of a capital increase or a capital decrease of the Company). A disclosure is equally required when persons or legal entities enter into, modify or terminate an agreement of action in concert, when as result thereof, the percentage of the voting rights subject to the action in concert or the percentage of the voting rights of one of the parties to the agreement of action in concert reaches, exceeds or falls below the thresholds referred to in Paragraph 7(a)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Disclosure statements referred to in this Paragraph (7) must be addressed to the Belgian Financial Services and Markets Authority (whose offices are currently located Rue du Congrès 12-14, 1000 Brussels, Belgium) and to the board of directors of the Company at the latest the fourth trading day in Euronext Brussels following the day on which (i) the person or legal entity is aware of the acquisition or the disposal or the possibility of exercising voting rights, or, having regard to the circumstances, should have been aware of it, regardless of the date on which the acquisition, disposal or possibility of exercising voting rights takes effect, (ii) the person or legal entity is aware of the event changing the break down of voting rights, (iii) an agreement of action in concert is entered into, modified or terminated, or (iv) for securities acquired by succession, the succession is accepted by the heirs, as the case may be, under the benefit of inventory (as such term is defined under Belgian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Unless otherwise provided by legal provisions in force, no one will be allowed to vote at a meeting of the holders of the Shares a number of securities greater than the number validly disclosed, to the extent required, at the latest twenty (20) days before such meeting, in compliance with legal provisions in force and with the Articles of Association;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disclosure requirements and limitations set out in Paragraphs (7) (a) to (e) above are applicable to any Holder of ADSs and/or Beneficial Owner by reference to the number of both ADSs and Shares (that are not Deposited Securities) held by such Holder and/or beneficially owned by such Beneficial Owner. This Paragraph (7) is a summary of the applicable provisions of Belgian law, as in effect as of the date of the Deposit Agreement, regarding disclosure of interests in the Company and shall not limit the obligations of Holders and Beneficial Owners to comply with all relevant provisions of Belgian law, as applicable from time to time. Each Holder and Beneficial Owner shall be deemed to have authorized the Depositary and the Custodian to comply with any request from the Company or any competent authority to disclose any information about any interest or any transaction of such Holder or Beneficial Owner in ADSs or Shares or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Liability for Taxes and Other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tax or other governmental charge payable by the Custodian or by the Depositary with respect to any 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Representations and Warranties on Deposit of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person depositing Shares under the Deposit Agreement shall be deemed thereby to represent and warrant that (i) such Shares and the certificates therefor are duly authorized, validly issued, fully paid, non 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(vi) the Shares presented for deposit have not been stripped of any rights or entitlements and (vii) the deposit of the Shares do not violate any provisions of Belgian law.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caps w:val="false"/>
          <w:smallCaps w:val="false"/>
          <w:sz w:val="20"/>
          <w:u w:val="single"/>
        </w:rPr>
        <w:t>Proofs, Certificates and Other Information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person presenting Shares for deposit, any Holder and any Beneficial Owner 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 (25) and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ADS Fees and Charges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following ADS fees are payable under the terms of the Deposit Agreement:</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283"/>
              <w:jc w:val="left"/>
              <w:rPr/>
            </w:pPr>
            <w:r>
              <w:rPr>
                <w:u w:val="single"/>
              </w:rPr>
              <w:t>ADS Issuance Fee</w:t>
            </w:r>
            <w:r>
              <w:rPr/>
              <w:t>: by any person depositing Shares or to whom ADSs are issued upon the deposit of Shares (excluding issuances as a result of distributions described in paragraph (iv) below), a fee not in excess of U.S. $5.00 per 100 ADSs (or fraction thereof) so issued under the terms of the Deposit Agreement;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left"/>
              <w:rPr/>
            </w:pPr>
            <w:r>
              <w:rPr>
                <w:u w:val="single"/>
              </w:rPr>
              <w:t>ADS Cancellation Fee</w:t>
            </w:r>
            <w:r>
              <w:rPr/>
              <w:t>: by any person surrendering ADSs for cancellation and withdrawal of Deposited Property or by any person to whom Deposited Property is delivered, a fee not in excess of U.S. $5.00 per 100 ADSs (or fraction thereof) surrendered;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7"/>
        <w:gridCol w:w="9861"/>
      </w:tblGrid>
      <w:tr>
        <w:trPr/>
        <w:tc>
          <w:tcPr>
            <w:tcW w:w="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1" w:type="dxa"/>
            <w:tcBorders/>
            <w:vAlign w:val="center"/>
          </w:tcPr>
          <w:p>
            <w:pPr>
              <w:pStyle w:val="TableContents"/>
              <w:bidi w:val="0"/>
              <w:spacing w:before="0" w:after="283"/>
              <w:jc w:val="left"/>
              <w:rPr/>
            </w:pPr>
            <w:r>
              <w:rPr>
                <w:u w:val="single"/>
              </w:rPr>
              <w:t>Cash Distribution Fee</w:t>
            </w:r>
            <w:r>
              <w:rPr/>
              <w:t>: by any Holder of ADSs, a fee not in excess of U.S. $5.00 per 100 ADSs (or fraction thereof) held for the distribution of cash dividends or other cash distributions (</w:t>
            </w:r>
            <w:r>
              <w:rPr>
                <w:i/>
              </w:rPr>
              <w:t>i.e.</w:t>
            </w:r>
            <w:r>
              <w:rPr/>
              <w:t>, sale of rights and other entitlements);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(iv)</w:t>
            </w:r>
          </w:p>
        </w:tc>
        <w:tc>
          <w:tcPr>
            <w:tcW w:w="9865" w:type="dxa"/>
            <w:tcBorders/>
            <w:vAlign w:val="center"/>
          </w:tcPr>
          <w:p>
            <w:pPr>
              <w:pStyle w:val="TableContents"/>
              <w:bidi w:val="0"/>
              <w:spacing w:before="0" w:after="283"/>
              <w:jc w:val="left"/>
              <w:rPr/>
            </w:pPr>
            <w:r>
              <w:rPr>
                <w:u w:val="single"/>
              </w:rPr>
              <w:t>Stock Distribution /Rights Exercise Fee</w:t>
            </w:r>
            <w:r>
              <w:rPr/>
              <w:t>: by any Holder of ADS(s), a fee not in excess of U.S. $5.00 per 100 ADSs (or fraction thereof) held for (a) stock dividends or other free stock distributions, or (b) exercise of rights to purchase additional ADSs;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(v)</w:t>
            </w:r>
          </w:p>
        </w:tc>
        <w:tc>
          <w:tcPr>
            <w:tcW w:w="9923" w:type="dxa"/>
            <w:tcBorders/>
            <w:vAlign w:val="center"/>
          </w:tcPr>
          <w:p>
            <w:pPr>
              <w:pStyle w:val="TableContents"/>
              <w:bidi w:val="0"/>
              <w:spacing w:before="0" w:after="283"/>
              <w:jc w:val="left"/>
              <w:rPr/>
            </w:pPr>
            <w:r>
              <w:rPr>
                <w:u w:val="single"/>
              </w:rPr>
              <w:t>Other Distribution Fee</w:t>
            </w:r>
            <w:r>
              <w:rPr/>
              <w:t>: by any Holder of ADS(s), a fee not in excess of U.S. $5.00 per 100 ADSs (or fraction thereof) held for the distribution of securities other than ADSs or rights to purchase additional ADSs (i.e., spin-off shares);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4"/>
        <w:gridCol w:w="9854"/>
      </w:tblGrid>
      <w:tr>
        <w:trPr/>
        <w:tc>
          <w:tcPr>
            <w:tcW w:w="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(vi)</w:t>
            </w:r>
          </w:p>
        </w:tc>
        <w:tc>
          <w:tcPr>
            <w:tcW w:w="9854" w:type="dxa"/>
            <w:tcBorders/>
            <w:vAlign w:val="center"/>
          </w:tcPr>
          <w:p>
            <w:pPr>
              <w:pStyle w:val="TableContents"/>
              <w:bidi w:val="0"/>
              <w:spacing w:before="0" w:after="283"/>
              <w:jc w:val="left"/>
              <w:rPr/>
            </w:pPr>
            <w:r>
              <w:rPr>
                <w:u w:val="single"/>
              </w:rPr>
              <w:t>Depositary Services Fee</w:t>
            </w:r>
            <w:r>
              <w:rPr/>
              <w:t>: by any Holder of ADS(s), a fee not in excess of U.S. $5.00 per 100 ADSs (or fraction thereof) held on the applicable record date(s) established by the Depositary.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Holders, Beneficial Owners, persons depositing Shares and persons surrendering ADSs for cancellation and for the purpose of withdrawing Deposited Securities shall be responsible for the following ADS charges under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811" w:type="dxa"/>
            <w:tcBorders/>
            <w:vAlign w:val="center"/>
          </w:tcPr>
          <w:p>
            <w:pPr>
              <w:pStyle w:val="TableContents"/>
              <w:bidi w:val="0"/>
              <w:spacing w:before="0" w:after="283"/>
              <w:jc w:val="left"/>
              <w:rPr/>
            </w:pPr>
            <w:r>
              <w:rPr/>
              <w:t>taxes (including applicable interest and penalties) and other governmental charges;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32" w:type="dxa"/>
            <w:tcBorders/>
            <w:vAlign w:val="center"/>
          </w:tcPr>
          <w:p>
            <w:pPr>
              <w:pStyle w:val="TableContents"/>
              <w:bidi w:val="0"/>
              <w:spacing w:before="0" w:after="283"/>
              <w:jc w:val="left"/>
              <w:rPr/>
            </w:pPr>
            <w:r>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40" w:type="dxa"/>
            <w:tcBorders/>
            <w:vAlign w:val="center"/>
          </w:tcPr>
          <w:p>
            <w:pPr>
              <w:pStyle w:val="TableContents"/>
              <w:bidi w:val="0"/>
              <w:spacing w:before="0" w:after="283"/>
              <w:jc w:val="left"/>
              <w:rPr/>
            </w:pPr>
            <w:r>
              <w:rPr/>
              <w:t>such cable, telex and facsimile transmission and delivery expenses as are expressly provided in the Deposit Agreement to be at the expense of the person depositing Shares or withdrawing Deposited Securities or of the Holders and Beneficial Owners of ADSs;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1"/>
        <w:gridCol w:w="9831"/>
      </w:tblGrid>
      <w:tr>
        <w:trPr/>
        <w:tc>
          <w:tcPr>
            <w:tcW w:w="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831" w:type="dxa"/>
            <w:tcBorders/>
            <w:vAlign w:val="center"/>
          </w:tcPr>
          <w:p>
            <w:pPr>
              <w:pStyle w:val="TableContents"/>
              <w:bidi w:val="0"/>
              <w:spacing w:before="0" w:after="283"/>
              <w:jc w:val="left"/>
              <w:rPr/>
            </w:pPr>
            <w:r>
              <w:rPr/>
              <w:t>the expenses and charges incurred by the Depositary in the conversion of foreign currency;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36" w:type="dxa"/>
            <w:tcBorders/>
            <w:vAlign w:val="center"/>
          </w:tcPr>
          <w:p>
            <w:pPr>
              <w:pStyle w:val="TableContents"/>
              <w:bidi w:val="0"/>
              <w:spacing w:before="0" w:after="283"/>
              <w:jc w:val="left"/>
              <w:rPr/>
            </w:pPr>
            <w:r>
              <w:rPr/>
              <w:t>such fees and expenses as are incurred by the Depositary in connection with compliance with exchange control regulations and other regulatory requirements applicable to Shares, Deposited Securities, ADSs and ADRs;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w:t>
            </w:r>
          </w:p>
        </w:tc>
        <w:tc>
          <w:tcPr>
            <w:tcW w:w="9947" w:type="dxa"/>
            <w:tcBorders/>
            <w:vAlign w:val="center"/>
          </w:tcPr>
          <w:p>
            <w:pPr>
              <w:pStyle w:val="TableContents"/>
              <w:bidi w:val="0"/>
              <w:spacing w:before="0" w:after="283"/>
              <w:jc w:val="left"/>
              <w:rPr/>
            </w:pPr>
            <w:r>
              <w:rPr/>
              <w:t>the fees and expenses incurred by the Depositary, the Custodian, or any nominee in connection with the delivery or servicing of Deposited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the Deposit Agreement. The Depositary shall provide, without charge, a copy of its latest ADS fee schedule to anyone upon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fees and charges payable upon (i) deposit of Shares against issuance of ADSs and (ii) surrender of ADSs for cancellation and withdrawal of Deposited Securities will be payable by the person to whom the ADSs so issued are delivered by the Depositary (in the case of ADS issuances) and by the person who delivers the ADSs for cancellation to the Depositary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surrendering the ADSs to the Depositary for cancellation,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For ADSs held through DTC, the ADS fees and charges for distributions other than cash and the ADS service fee are charged to the DTC Participants in accordance with the procedures and practices prescribed by DTC from time to time and the DTC Participants in turn charge the amount of such ADS fees and charges to the Beneficial Owners for whom they hold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charges and expenses shall extend for those ADS fees and charges incurred prior to the effectiveness of such resignation or removal.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Title to ADRs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limitations contained in the Deposit Agreement and in this ADR, it is a condition of this ADR, and every 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Validity of ADR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Holder(s) of this ADR (and the ADSs represented hereby) shall not be entitled to any benefits under the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i w:val="false"/>
          <w:caps w:val="false"/>
          <w:smallCaps w:val="false"/>
          <w:sz w:val="20"/>
          <w:u w:val="single"/>
        </w:rPr>
        <w:t>Available Information; Reports; Inspection of Transfer Books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of the date of the Deposit Agreement, the Company publishes the information contemplated in Rule 12g3-2(b)(2)(i) under the Exchange Act on its internet website or through an electronic information delivery system generally available to the public in the Company’s primary trading market. The information so published by the Company may not be in English, except that the Company is required, in order to maintain its exemption from the Exchange Act reporting obligations pursuant to Rule 12g3-2(b), to translate such information into English to the extent contemplated in the instructions to Rule 12g3-2(b). The information so published by the Company cannot be retrieved from the Commission’s internet website, and cannot be inspected or copied at the public reference facilities maintained by the Commission located (as of the date of the Deposit Agreement) at 100 F Street, N.E., Washington, D.C. 20549.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after the date of this Deposit Agreement the Company is subject to the periodic reporting requirements of the Exchange Act, the Company’s obligation to publish the information contemplated in Rule 12g3-2(b)(2)(i) under the Exchange Act will terminate and, accordingly, the Company will be required to file or submit certain reports with the Commission. These reports can be retrieved from the Commission's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and can be inspected and copied at the public reference facilities maintained by the Commission located (as of the date of the Deposit Agreement) at 100 F Street, N.E., Washington D.C. 20549.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435"/>
        <w:gridCol w:w="2359"/>
        <w:gridCol w:w="60"/>
        <w:gridCol w:w="365"/>
        <w:gridCol w:w="2075"/>
      </w:tblGrid>
      <w:tr>
        <w:trPr/>
        <w:tc>
          <w:tcPr>
            <w:tcW w:w="2794" w:type="dxa"/>
            <w:gridSpan w:val="2"/>
            <w:tcBorders/>
            <w:vAlign w:val="center"/>
          </w:tcPr>
          <w:p>
            <w:pPr>
              <w:pStyle w:val="TableContents"/>
              <w:bidi w:val="0"/>
              <w:spacing w:before="0" w:after="283"/>
              <w:jc w:val="left"/>
              <w:rPr/>
            </w:pPr>
            <w:r>
              <w:rPr/>
              <w:t>CITIBANK, N.A.</w:t>
              <w:br/>
              <w:t>Transfer Agent and Registrar</w:t>
            </w:r>
          </w:p>
        </w:tc>
        <w:tc>
          <w:tcPr>
            <w:tcW w:w="6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CITIBANK, N.A.</w:t>
              <w:br/>
              <w:t>as Depositary</w:t>
            </w:r>
          </w:p>
        </w:tc>
      </w:tr>
      <w:tr>
        <w:trPr/>
        <w:tc>
          <w:tcPr>
            <w:tcW w:w="279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t>By:</w:t>
            </w:r>
          </w:p>
        </w:tc>
        <w:tc>
          <w:tcPr>
            <w:tcW w:w="2359" w:type="dxa"/>
            <w:tcBorders>
              <w:bottom w:val="single" w:sz="8" w:space="0" w:color="000000"/>
            </w:tcBorders>
            <w:tcMar>
              <w:bottom w:w="28" w:type="dxa"/>
            </w:tcMar>
            <w:vAlign w:val="center"/>
          </w:tcPr>
          <w:p>
            <w:pPr>
              <w:pStyle w:val="TableContents"/>
              <w:bidi w:val="0"/>
              <w:spacing w:before="0" w:after="283"/>
              <w:jc w:val="left"/>
              <w:rPr/>
            </w:pPr>
            <w:r>
              <w:rPr/>
              <w:tab/>
              <w:tab/>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ab/>
              <w:tab/>
            </w:r>
          </w:p>
        </w:tc>
      </w:tr>
      <w:tr>
        <w:trPr/>
        <w:tc>
          <w:tcPr>
            <w:tcW w:w="435"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Authorized Signatory</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Authorized Signatory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Principal Office of the Depositary is 388 Greenwich Street, New York, New York 10013, U.S.A.</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A-12 </w:t>
      </w:r>
    </w:p>
    <w:p>
      <w:pPr>
        <w:pStyle w:val="TextBody"/>
        <w:bidi w:val="0"/>
        <w:spacing w:before="0" w:after="0"/>
        <w:jc w:val="center"/>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ADR]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OF CERTAIN ADDITIONAL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DEPOSIT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i w:val="false"/>
          <w:caps w:val="false"/>
          <w:smallCaps w:val="false"/>
          <w:sz w:val="20"/>
          <w:u w:val="single"/>
        </w:rPr>
        <w:t>Dividends and Distributions in Cash, Shares,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Company intends to make a distribution of a cash dividend or other cash distribution in respect of any Deposited Securities, the Company shall give notice thereof to the Depositary at least twenty (20) days prior to the proposed distribution specifying, </w:t>
      </w:r>
      <w:r>
        <w:rPr>
          <w:rFonts w:ascii="Times New Roman;Times;Serif" w:hAnsi="Times New Roman;Times;Serif"/>
          <w:b w:val="false"/>
          <w:i/>
          <w:caps w:val="false"/>
          <w:smallCaps w:val="false"/>
          <w:sz w:val="20"/>
          <w:u w:val="single"/>
        </w:rPr>
        <w:t>inter alia</w:t>
      </w:r>
      <w:r>
        <w:rPr>
          <w:rFonts w:ascii="Times New Roman;Times;Serif" w:hAnsi="Times New Roman;Times;Serif"/>
          <w:b w:val="false"/>
          <w:i w:val="false"/>
          <w:caps w:val="false"/>
          <w:smallCaps w:val="false"/>
          <w:sz w:val="20"/>
        </w:rPr>
        <w:t>, the record date applicable for determining the holders of Deposited Securities entitled to receive such distribution. Upon the timely receipt of such notice, the Depositary shall establish an ADS Record Date upon the terms described in Section 4.9 of the Deposit Agreement. Upon receipt of confirmation from the Custodian of the receipt of any cash dividend or other cash distribution on any Deposited Securities, or upon receipt of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taxes required to be withheld as a result of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the Company intends to make a distribution that consists of a dividend in, or free distribution of, Shares, the Company shall give notice thereof to the Depositary at least twenty (20) days prior to the proposed distribution, specifying, </w:t>
      </w:r>
      <w:r>
        <w:rPr>
          <w:rFonts w:ascii="Times New Roman;Times;Serif" w:hAnsi="Times New Roman;Times;Serif"/>
          <w:b w:val="false"/>
          <w:i/>
          <w:caps w:val="false"/>
          <w:smallCaps w:val="false"/>
          <w:sz w:val="20"/>
          <w:u w:val="single"/>
        </w:rPr>
        <w:t>inter alia</w:t>
      </w:r>
      <w:r>
        <w:rPr>
          <w:rFonts w:ascii="Times New Roman;Times;Serif" w:hAnsi="Times New Roman;Times;Serif"/>
          <w:b w:val="false"/>
          <w:i w:val="false"/>
          <w:caps w:val="false"/>
          <w:smallCaps w:val="false"/>
          <w:sz w:val="20"/>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after consultation with the Company to the extent reasonably practicable,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the Company intends to make a distribution payable at the election of the holders of Deposited Securities in cash or in additional Shares, the Company shall give notice thereof to the Depositary at least forty-five (45) days prior to the proposed distribution specifying, </w:t>
      </w:r>
      <w:r>
        <w:rPr>
          <w:rFonts w:ascii="Times New Roman;Times;Serif" w:hAnsi="Times New Roman;Times;Serif"/>
          <w:b w:val="false"/>
          <w:i/>
          <w:caps w:val="false"/>
          <w:smallCaps w:val="false"/>
          <w:sz w:val="20"/>
          <w:u w:val="single"/>
        </w:rPr>
        <w:t>inter alia</w:t>
      </w:r>
      <w:r>
        <w:rPr>
          <w:rFonts w:ascii="Times New Roman;Times;Serif" w:hAnsi="Times New Roman;Times;Serif"/>
          <w:b w:val="false"/>
          <w:i w:val="false"/>
          <w:caps w:val="false"/>
          <w:smallCaps w:val="false"/>
          <w:sz w:val="20"/>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the Depositary shall establish an ADS Record Date on the terms described in Section 4.9 of the Deposit Agreement and, to the extent permitted by law, distribute to the Holders, on the basis of the same determination as is made in the Kingdom of Belgium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or in the Deposit Agreement shall obligate the Depositary to make available to the Holder a method to receive the elective distribution in Shares (rather than ADSs). There can be no assurance that the Holder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Whenever the Company intends to offer, distribute, or cause to be offered or distributed to the holders of the Deposited Securities rights to subscribe for additional Shares, the Company shall give notice thereof to the Depositary at least forty-five (45) days prior to the proposed offer specifying, </w:t>
      </w:r>
      <w:r>
        <w:rPr>
          <w:rFonts w:ascii="Times New Roman;Times;Serif" w:hAnsi="Times New Roman;Times;Serif"/>
          <w:b w:val="false"/>
          <w:i/>
          <w:caps w:val="false"/>
          <w:smallCaps w:val="false"/>
          <w:sz w:val="20"/>
          <w:u w:val="single"/>
        </w:rPr>
        <w:t>inter alia</w:t>
      </w:r>
      <w:r>
        <w:rPr>
          <w:rFonts w:ascii="Times New Roman;Times;Serif" w:hAnsi="Times New Roman;Times;Serif"/>
          <w:b w:val="false"/>
          <w:i w:val="false"/>
          <w:caps w:val="false"/>
          <w:smallCaps w:val="false"/>
          <w:sz w:val="20"/>
        </w:rPr>
        <w:t>, the record date applicable to holders of Deposited Securities entitled to receive such rights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in the Deposit Agreement,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an ADS Record Date (upon the terms described in Section 4.9 of the Deposit Agreement) and establish procedures to (x) distribute rights to purchase additional ADSs (by means of warrants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required to be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Company does not request the Depositary to make such distribution to Holders or requests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i w:val="false"/>
          <w:caps w:val="false"/>
          <w:smallCaps w:val="false"/>
          <w:sz w:val="20"/>
          <w:u w:val="single"/>
        </w:rPr>
        <w:t>Redemption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Company intends to exercise any right of redemption (by way of shareholders resolution or otherwise) in respect of any of the Deposited Securities (where such Deposited Securities provide the Company with a right of redemption), the Company shall give notice thereof to the Depositary at least thirty (30) days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Depositary and the Company,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with the Company.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this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A-18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i w:val="false"/>
          <w:caps w:val="false"/>
          <w:smallCaps w:val="false"/>
          <w:sz w:val="20"/>
          <w:u w:val="single"/>
        </w:rPr>
        <w:t>Fixing of ADS Record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Whenever the Depositary shall receive notice of the fixing of a record date by the Company for the 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after consultation with the Company to the extent reasonably practicable, fix the record date (the “</w:t>
      </w:r>
      <w:r>
        <w:rPr>
          <w:rFonts w:ascii="Times New Roman;Times;Serif" w:hAnsi="Times New Roman;Times;Serif"/>
          <w:b w:val="false"/>
          <w:i w:val="false"/>
          <w:caps w:val="false"/>
          <w:smallCaps w:val="false"/>
          <w:sz w:val="20"/>
          <w:u w:val="single"/>
        </w:rPr>
        <w:t>ADS Record Date</w:t>
      </w:r>
      <w:r>
        <w:rPr>
          <w:rFonts w:ascii="Times New Roman;Times;Serif" w:hAnsi="Times New Roman;Times;Serif"/>
          <w:b w:val="false"/>
          <w:i w:val="false"/>
          <w:caps w:val="false"/>
          <w:smallCaps w:val="false"/>
          <w:sz w:val="20"/>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the Kingdom of Belgium and shall not announce the establishment of any ADS Record Date prior to the relevant corporate action having been made public by the Company (if such corporate action affects the Deposited Securities). Subject to applicable law, and the provisions of Sections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 For the ADS Record Date in respect of a shareholders meeting of the Company, such date shall be determined by the Depositary and the Company jointly, it being understood that such ADS Record Date shall not be established earlier than 30 days prior to the relevant shareholders meeting.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i w:val="false"/>
          <w:caps w:val="false"/>
          <w:smallCaps w:val="false"/>
          <w:sz w:val="20"/>
          <w:u w:val="single"/>
        </w:rPr>
        <w:t>Voting of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as soon as practicable after receipt of notice of any meeting at which the holders of Deposited Securities are entitled to vote, or of solicitation of consents or proxies from holders of Deposited Securities, if requested by the Company in writing in a timely manner, at the Company’s expense and provided no U.S. legal prohibitions exist, distribute to Holders as of the ADS Record Date: (a) such notice of meeting or solicitation of consent or proxy, (b) a statement that the Holders at the close of business on the ADS Record Date and, if so required by the Company, who also hold the ADSs as of the applicable share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in which such voting instructions may be given, including the following express indications: (x) that no voting rights will be exercised by the Depositary if the Depositary does not receive voting instructions timely from a Holder; and (y) that the Depositary will deem a Holder (unless otherwise specified in the notice distributed to the Holders) to have instructed the Depositary to vote in favor of the items set forth in such voting instructions if the Depositary has timely received the voting instructions from such Holder but if such Holder has failed to specify the manner in which the Depositary is to vote the Deposited Securities represented by such Holder's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A-19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law or regulations, or by the requirements of the stock exchange on which the ADSs are listed, and after consultation with the Company to the extent reasonably practicable,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 provided, that, upon request of any Holder, the Depositary timely distributes to such Holder the materials provided to the Depositary in connection with any meeting of the holders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instructions may be given only in respect of a number of ADSs representing an integral number of Deposited Securities. Upon the timely receipt from a Holder of ADSs as of the ADS Record Date (and, if so required by the Company, who also hold the ADSs as of the applicable share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such voting instructions. The Depositary agrees not to vote, cause to be voted or attempt to exercise the right to vote that attaches to any Deposited Securities, other than in accordance with valid voting instructions given or deemed given in compliance with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any Holder to give instructions to the Depositary as to the exercise of voting rights or the right of any Holder to withdraw Deposited Securities in person or by proxy may be limited if such Holder fails to comply with the requirements described in Sections 3.4, 3.5, 3.6 and 3.7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A-20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reasonably requested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Holders generally or any Holder in particular will receive the notice described above with sufficient time to enable the Holder to return voting instructions to the Depositary, or otherwise take action,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9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agrees, upon the request of Company, to provide to the Company copies of the voting instructions it receives (in the case of voting instructions received from Holders by any electronic means, a tabulation of such voting instructions) as promptly as practicable, and at the latest three (3) business days prior to any upcoming meeting date, upon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have delivered voting instructions agree that such voting instruction may, at the request of the Company, be disclosed by the Company, for purposes of compliance with Belgian law, in connection with any meeting of the holders of the Shares, whether prior, during or after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in the Deposit Agreement or any Receipt to the contrary, and to the extent not prohibited by law or regulations, the Depositary and the Company may, by agreement between them, with notice to the Holders, modify, amend or adopt additional voting procedures from time to time as they determine may be necessary or appropriate (subject, in each case, to the terms of Sections 6.1 and 7.8 of the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i w:val="false"/>
          <w:caps w:val="false"/>
          <w:smallCaps w:val="false"/>
          <w:sz w:val="20"/>
          <w:u w:val="single"/>
        </w:rPr>
        <w:t>Changes Affecting Deposited Securities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any split-up, cancellation, consolidation or any 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applicable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A-21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i w:val="false"/>
          <w:caps w:val="false"/>
          <w:smallCaps w:val="false"/>
          <w:sz w:val="20"/>
          <w:u w:val="single"/>
        </w:rPr>
        <w:t>Exoneration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anything contained in the Deposit Agreement or any ADR, neither the Depositary nor the Company shall 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and this ADR, by reason of any provision of any present or future law or regulation of the United States, the Kingdom of Belgium, or any other country, or of any other governmental authority or regulatory authority or stock exchange, or on account of the possible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 No disclaimer of liability under the Securities Act is intended by any provision of the Deposit Agreement or this ADR.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A-22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i w:val="false"/>
          <w:caps w:val="false"/>
          <w:smallCaps w:val="false"/>
          <w:sz w:val="20"/>
          <w:u w:val="single"/>
        </w:rPr>
        <w:t>Standard of Care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and the Depositary assume no obligation and shall not be subject to any liability under the Deposit 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reasonable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shall not be liable for any failure to carry out any instructions to vote any of the Deposited Securities, or for the manner in which any vote is cast or the effect of any vote, provided that any such action or omission is in good faith, without negligence, and in accordance with the terms of the Deposit Agreement.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A-23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i w:val="false"/>
          <w:caps w:val="false"/>
          <w:smallCaps w:val="false"/>
          <w:sz w:val="20"/>
          <w:u w:val="single"/>
        </w:rPr>
        <w:t>Resignation and Removal of the Depositary; Appointment of Successor Depositary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may at any time resign as 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the appointment by the Company of a successor depositary and its acceptance of such appointment by the Company as provided in the Deposit Agreement. In case at any time the Depositary acting hereunder shall resign or be removed, the Company shall use its reasonable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i w:val="false"/>
          <w:caps w:val="false"/>
          <w:smallCaps w:val="false"/>
          <w:sz w:val="20"/>
          <w:u w:val="single"/>
        </w:rPr>
        <w:t>Amendment/Supplement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terms and conditions of this paragraph 23, and Section 6.1 of the Deposit Agreement and 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each such case, the notice given to the Holders identifies a means for Holders and Beneficial Owners to retrieve or receive the text of such amendment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if applicable, in such circumstances may become effective before a notice of such amendment or supplement is given to Holders or within any other period of time as required for compliance with such laws, rules 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A-24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i w:val="false"/>
          <w:caps w:val="false"/>
          <w:smallCaps w:val="false"/>
          <w:sz w:val="20"/>
          <w:u w:val="single"/>
        </w:rPr>
        <w:t>Termination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Depositary shall, at any time at the written direction of the Company, terminate the Deposit Agreement by 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A-25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i w:val="false"/>
          <w:caps w:val="false"/>
          <w:smallCaps w:val="false"/>
          <w:sz w:val="20"/>
          <w:u w:val="single"/>
        </w:rPr>
        <w:t>Compliance with U.S. Securities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provisions in this 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i w:val="false"/>
          <w:caps w:val="false"/>
          <w:smallCaps w:val="false"/>
          <w:sz w:val="20"/>
          <w:u w:val="single"/>
        </w:rPr>
        <w:t>Certain Rights of the Depositary; Limitations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Subject to the further terms and provisions of this paragraph (26) and Section 5.10 of the Deposit Agreement and subject to any applicable securities laws and regulations (including without limitation any insider dealing restrictions), the Depositary, its Affiliates and their agents, on their own behalf, may own and deal in any class of securities of the Company and its Affiliates and in ADSs. In its capacity as Depositary, the Depositary shall not lend Shares or ADSs;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Times New Roman;Times;Serif" w:hAnsi="Times New Roman;Times;Serif"/>
          <w:b w:val="false"/>
          <w:i w:val="false"/>
          <w:caps w:val="false"/>
          <w:smallCaps w:val="false"/>
          <w:sz w:val="20"/>
          <w:u w:val="single"/>
        </w:rPr>
        <w:t>Pre-Release Transaction</w:t>
      </w:r>
      <w:r>
        <w:rPr>
          <w:rFonts w:ascii="Times New Roman;Times;Serif" w:hAnsi="Times New Roman;Times;Serif"/>
          <w:b w:val="false"/>
          <w:i w:val="false"/>
          <w:caps w:val="false"/>
          <w:smallCaps w:val="false"/>
          <w:sz w:val="20"/>
        </w:rPr>
        <w:t>”). The Depositary may receive ADSs in lieu of Shares under (i) above and receive Shares in lieu of ADSs under (ii) above. Each such Pre-Release Transaction will be (a) subject to a written agreement whereby the person or entity (the “</w:t>
      </w:r>
      <w:r>
        <w:rPr>
          <w:rFonts w:ascii="Times New Roman;Times;Serif" w:hAnsi="Times New Roman;Times;Serif"/>
          <w:b w:val="false"/>
          <w:i w:val="false"/>
          <w:caps w:val="false"/>
          <w:smallCaps w:val="false"/>
          <w:sz w:val="20"/>
          <w:u w:val="single"/>
        </w:rPr>
        <w:t>Applicant</w:t>
      </w:r>
      <w:r>
        <w:rPr>
          <w:rFonts w:ascii="Times New Roman;Times;Serif" w:hAnsi="Times New Roman;Times;Serif"/>
          <w:b w:val="false"/>
          <w:i w:val="false"/>
          <w:caps w:val="false"/>
          <w:smallCaps w:val="false"/>
          <w:sz w:val="20"/>
        </w:rPr>
        <w:t xml:space="preserve">”)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Depositary reserves the right to change or disregard such limit from time to time as it deems appropriate. 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A-26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Deposit Agreement and the ADRs shall be interpreted in accordance with, and all rights 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Kingdom of Belgium (or, if applicable, such other laws as may govern the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A-27 </w:t>
      </w:r>
    </w:p>
    <w:p>
      <w:pPr>
        <w:pStyle w:val="TextBody"/>
        <w:bidi w:val="0"/>
        <w:spacing w:before="0" w:after="0"/>
        <w:jc w:val="center"/>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TRANSFER SIGNATURE LINES)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undersigned Holder hereby sell(s), assign(s) and transfer(s) unto ______________________________ whose taxpayer identification number is _______________________ and whose address including postal zip code is ________________, the within ADR and all rights thereunder, hereby irrevocably constituting and appointing ________________________ attorney-in-fact to transfer said ADR on the books of the Depositary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8"/>
        <w:gridCol w:w="4854"/>
        <w:gridCol w:w="3253"/>
      </w:tblGrid>
      <w:tr>
        <w:trPr/>
        <w:tc>
          <w:tcPr>
            <w:tcW w:w="2098" w:type="dxa"/>
            <w:tcBorders/>
            <w:vAlign w:val="center"/>
          </w:tcPr>
          <w:p>
            <w:pPr>
              <w:pStyle w:val="TableContents"/>
              <w:bidi w:val="0"/>
              <w:spacing w:before="0" w:after="283"/>
              <w:jc w:val="left"/>
              <w:rPr/>
            </w:pPr>
            <w:r>
              <w:rPr/>
              <w:t>Dated:    </w:t>
            </w:r>
          </w:p>
        </w:tc>
        <w:tc>
          <w:tcPr>
            <w:tcW w:w="4854" w:type="dxa"/>
            <w:tcBorders/>
            <w:vAlign w:val="center"/>
          </w:tcPr>
          <w:p>
            <w:pPr>
              <w:pStyle w:val="TableContents"/>
              <w:bidi w:val="0"/>
              <w:spacing w:before="0" w:after="283"/>
              <w:jc w:val="left"/>
              <w:rPr/>
            </w:pPr>
            <w:r>
              <w:rPr/>
              <w:t>Name:  </w:t>
            </w:r>
          </w:p>
        </w:tc>
        <w:tc>
          <w:tcPr>
            <w:tcW w:w="325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By:</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Title:</w:t>
            </w:r>
          </w:p>
        </w:tc>
      </w:tr>
      <w:tr>
        <w:trPr/>
        <w:tc>
          <w:tcPr>
            <w:tcW w:w="2098" w:type="dxa"/>
            <w:tcBorders/>
            <w:vAlign w:val="center"/>
          </w:tcPr>
          <w:p>
            <w:pPr>
              <w:pStyle w:val="TableContents"/>
              <w:bidi w:val="0"/>
              <w:spacing w:before="0" w:after="283"/>
              <w:jc w:val="left"/>
              <w:rPr/>
            </w:pPr>
            <w:r>
              <w:rPr/>
              <w:t> </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NOTICE: The signature of the Holder to this assignment must correspond with the name as written upon the face of the within instrument in every particular, without alteration or enlargement or any change whatsoever.</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ADR.</w:t>
            </w:r>
          </w:p>
        </w:tc>
      </w:tr>
      <w:tr>
        <w:trPr/>
        <w:tc>
          <w:tcPr>
            <w:tcW w:w="2098" w:type="dxa"/>
            <w:tcBorders/>
            <w:vAlign w:val="center"/>
          </w:tcPr>
          <w:p>
            <w:pPr>
              <w:pStyle w:val="TableContents"/>
              <w:bidi w:val="0"/>
              <w:spacing w:before="0" w:after="283"/>
              <w:jc w:val="left"/>
              <w:rPr/>
            </w:pPr>
            <w:r>
              <w:rPr/>
              <w:t>__________________________</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SIGNATURE GUARANTEED</w:t>
            </w:r>
          </w:p>
        </w:tc>
        <w:tc>
          <w:tcPr>
            <w:tcW w:w="4854" w:type="dxa"/>
            <w:tcBorders/>
            <w:vAlign w:val="center"/>
          </w:tcPr>
          <w:p>
            <w:pPr>
              <w:pStyle w:val="TableContents"/>
              <w:bidi w:val="0"/>
              <w:spacing w:before="0" w:after="283"/>
              <w:jc w:val="left"/>
              <w:rPr/>
            </w:pPr>
            <w:r>
              <w:rPr/>
              <w:t> </w:t>
            </w:r>
          </w:p>
        </w:tc>
        <w:tc>
          <w:tcPr>
            <w:tcW w:w="3253"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8107" w:type="dxa"/>
            <w:gridSpan w:val="2"/>
            <w:tcBorders/>
            <w:vAlign w:val="center"/>
          </w:tcPr>
          <w:p>
            <w:pPr>
              <w:pStyle w:val="TableContents"/>
              <w:bidi w:val="0"/>
              <w:spacing w:before="0" w:after="283"/>
              <w:jc w:val="left"/>
              <w:rPr/>
            </w:pPr>
            <w:r>
              <w:rPr/>
              <w:t>All endorsements or assignments of ADRs must be guaranteed by a member of a Medallion Signature Program approved by the Securities Transfer Association, Inc.</w:t>
            </w:r>
          </w:p>
        </w:tc>
      </w:tr>
    </w:tbl>
    <w:p>
      <w:pPr>
        <w:pStyle w:val="TextBody"/>
        <w:bidi w:val="0"/>
        <w:spacing w:before="0" w:after="283"/>
        <w:jc w:val="left"/>
        <w:rPr/>
      </w:pPr>
      <w:r>
        <w:rPr/>
        <w:t> </w:t>
      </w:r>
    </w:p>
    <w:p>
      <w:pPr>
        <w:pStyle w:val="TextBody"/>
        <w:pBdr>
          <w:bottom w:val="single" w:sz="8" w:space="1" w:color="000000"/>
        </w:pBdr>
        <w:bidi w:val="0"/>
        <w:spacing w:before="0" w:after="283"/>
        <w:jc w:val="center"/>
        <w:rPr/>
      </w:pPr>
      <w:r>
        <w:rPr/>
        <w:t>A-28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16278</Words>
  <Characters>84135</Characters>
  <CharactersWithSpaces>100510</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